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9C87C" w14:textId="77777777" w:rsidR="00E50DD0" w:rsidRDefault="00E50DD0" w:rsidP="00E50DD0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BG</w:t>
      </w:r>
    </w:p>
    <w:p w14:paraId="6F8CF8C3" w14:textId="77777777" w:rsidR="00E50DD0" w:rsidRDefault="00E50DD0" w:rsidP="00E50DD0">
      <w:pPr>
        <w:rPr>
          <w:rFonts w:asciiTheme="minorHAnsi" w:hAnsiTheme="minorHAnsi"/>
          <w:sz w:val="22"/>
        </w:rPr>
      </w:pPr>
    </w:p>
    <w:p w14:paraId="590BC630" w14:textId="77777777" w:rsidR="00DD798A" w:rsidRPr="00037E7B" w:rsidRDefault="00DD798A" w:rsidP="00DD798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 II</w:t>
      </w:r>
    </w:p>
    <w:p w14:paraId="33BF0F02" w14:textId="77777777" w:rsidR="00DD798A" w:rsidRPr="00037E7B" w:rsidRDefault="00DD798A" w:rsidP="00DD798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„ПРИЛОЖЕНИЕ II</w:t>
      </w:r>
    </w:p>
    <w:p w14:paraId="43AF84F6" w14:textId="77777777" w:rsidR="00DD798A" w:rsidRPr="00037E7B" w:rsidRDefault="00DD798A" w:rsidP="00DD798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УКАЗАНИЯ ЗА ДОКЛАДВАНЕ НА ИНФОРМАЦИЯ ЗА СОБСТВЕНИТЕ СРЕДСТВА И КАПИТАЛОВИТЕ ИЗИСКВАНИЯ</w:t>
      </w:r>
    </w:p>
    <w:p w14:paraId="6B9B322A" w14:textId="77777777" w:rsidR="00E26A90" w:rsidRDefault="00E26A90"/>
    <w:p w14:paraId="2A45E9E8" w14:textId="77777777" w:rsidR="00A931D0" w:rsidRDefault="00A931D0" w:rsidP="00A931D0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ЧАСТ II: УКАЗАНИЯ ОТНОСНО ОБРАЗЦИТЕ</w:t>
      </w:r>
    </w:p>
    <w:p w14:paraId="572B21DA" w14:textId="77777777" w:rsidR="00A931D0" w:rsidRDefault="00A931D0" w:rsidP="00A931D0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2CBE875B" w14:textId="77777777" w:rsidR="00A931D0" w:rsidRPr="00736637" w:rsidRDefault="00A931D0" w:rsidP="00A931D0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7289C48A" w14:textId="77777777" w:rsidR="00A931D0" w:rsidRDefault="00A931D0"/>
    <w:p w14:paraId="7D324BFC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C 09.01 — Географска разбивка на експозициите по местопребиваване на длъжника: експозиции по стандартизирания подход (CR GB 1)</w:t>
      </w:r>
    </w:p>
    <w:p w14:paraId="0D9A10C4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0" w:name="_Toc360188363"/>
      <w:bookmarkStart w:id="1" w:name="_Toc473560914"/>
      <w:bookmarkStart w:id="2" w:name="_Toc151714418"/>
      <w:r>
        <w:rPr>
          <w:rFonts w:ascii="Times New Roman" w:hAnsi="Times New Roman"/>
          <w:sz w:val="24"/>
          <w:u w:val="none"/>
        </w:rPr>
        <w:t>3.4.1.1.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Указания относно конкретни позиции</w:t>
      </w:r>
      <w:bookmarkEnd w:id="0"/>
      <w:bookmarkEnd w:id="1"/>
      <w:bookmarkEnd w:id="2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2A677E" w14:paraId="127D8EEC" w14:textId="77777777" w:rsidTr="00822842">
        <w:trPr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6A81D963" w14:textId="77777777" w:rsidR="009D6580" w:rsidRPr="001235ED" w:rsidRDefault="009D6580" w:rsidP="00822842">
            <w:pPr>
              <w:spacing w:after="0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Колони</w:t>
            </w:r>
          </w:p>
        </w:tc>
      </w:tr>
      <w:tr w:rsidR="009D6580" w:rsidRPr="002A677E" w14:paraId="08CE2FB2" w14:textId="77777777" w:rsidTr="00822842">
        <w:tc>
          <w:tcPr>
            <w:tcW w:w="1188" w:type="dxa"/>
          </w:tcPr>
          <w:p w14:paraId="75E0B30C" w14:textId="77777777" w:rsidR="009D6580" w:rsidRPr="002A677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4841BFDB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ПЪРВОНАЧАЛНА ЕКСПОЗИЦИЯ ПРЕДИ ПРИЛАГАНЕТО НА КОНВЕРСИОННИТЕ КОЕФИЦИЕНТИ</w:t>
            </w:r>
          </w:p>
          <w:p w14:paraId="1D6A0F00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Същото определение като за колона 0010 от образец CR SA.</w:t>
            </w:r>
          </w:p>
        </w:tc>
      </w:tr>
      <w:tr w:rsidR="009D6580" w:rsidRPr="002A677E" w14:paraId="5F923D3B" w14:textId="77777777" w:rsidTr="00822842">
        <w:tc>
          <w:tcPr>
            <w:tcW w:w="1188" w:type="dxa"/>
          </w:tcPr>
          <w:p w14:paraId="6908781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640" w:type="dxa"/>
          </w:tcPr>
          <w:p w14:paraId="04F3B538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Експозиции в неизпълнение</w:t>
            </w:r>
          </w:p>
          <w:p w14:paraId="147BD4ED" w14:textId="29FBEBE8" w:rsidR="009D6580" w:rsidRPr="002A677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Първоначалната експозиция преди прилагането на конверсионните коефициенти — за тези експозиции, които са класифицирани като „експозиции в неизпълнение“, и за експозициите в неизпълнение, отнесени към клас „експозиции към капиталови инструменти“, и експозициите в неизпълнение, отнесени към клас „експозиции под формата на дялове или акции в предприятия за колективно инвестиране (ПКИ)“.</w:t>
            </w:r>
          </w:p>
          <w:p w14:paraId="6DA448AF" w14:textId="77777777" w:rsidR="009D6580" w:rsidRPr="002A677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Тази „поясняваща позиция“ предоставя допълнителна информация за структурата на длъжниците по експозиции в неизпълнение. </w:t>
            </w:r>
            <w:r>
              <w:rPr>
                <w:rFonts w:ascii="Times New Roman" w:hAnsi="Times New Roman"/>
                <w:sz w:val="24"/>
              </w:rPr>
              <w:t>Експозициите, класифицирани като „експозиции в неизпълнение“ съгласно посоченото в член 112, буква й) от Регламент (ЕС) № 575/2013, се докладват там, където длъжниците са щели да бъдат докладвани, ако тези експозиции не са били отнесени към клас „експозиции в неизпълнение“.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</w:p>
          <w:p w14:paraId="52855171" w14:textId="65C7A920" w:rsidR="009D6580" w:rsidRPr="002A677E" w:rsidRDefault="00123FDD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Тази информация е „поясняваща позиция“ — следователно тя не влияе върху изчисляването на рисково претеглените размери на класове експозиции „експозиции в неизпълнение“, „експозиции към капиталови инструменти“ или „експозиции под формата на дялове или акции в предприятия за колективно инвестиране (ПКИ)“ по член 112, букви й), п) и о) от Регламент (ЕС) № 575/2013.</w:t>
            </w:r>
          </w:p>
        </w:tc>
      </w:tr>
      <w:tr w:rsidR="009D6580" w:rsidRPr="002A677E" w14:paraId="12737C01" w14:textId="77777777" w:rsidTr="00822842">
        <w:tc>
          <w:tcPr>
            <w:tcW w:w="1188" w:type="dxa"/>
          </w:tcPr>
          <w:p w14:paraId="0843F0D4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640" w:type="dxa"/>
          </w:tcPr>
          <w:p w14:paraId="317ABA2D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Наблюдавани нови случаи на неизпълнение за периода</w:t>
            </w:r>
          </w:p>
          <w:p w14:paraId="4C451CED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Стойността на първоначалните експозиции, преминали в клас „експозиции в неизпълнение“ по време на 3-месечния период от последната референтна дата на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докладване, се докладва спрямо класа експозиции, към който длъжникът първоначално е принадлежал.</w:t>
            </w:r>
          </w:p>
        </w:tc>
      </w:tr>
      <w:tr w:rsidR="009D6580" w:rsidRPr="002A677E" w14:paraId="59173FA8" w14:textId="77777777" w:rsidTr="00822842">
        <w:tc>
          <w:tcPr>
            <w:tcW w:w="1188" w:type="dxa"/>
          </w:tcPr>
          <w:p w14:paraId="7368E5E9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8640" w:type="dxa"/>
          </w:tcPr>
          <w:p w14:paraId="1A491AA7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Корекции за общ кредитен риск</w:t>
            </w:r>
          </w:p>
          <w:p w14:paraId="019027A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Корекции за кредитен риск, посочени в член 110 от Регламент (ЕС) № 575/2013, както и в Регламент (ЕС) № 183/2014. </w:t>
            </w:r>
          </w:p>
          <w:p w14:paraId="124DE0E0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Тази позиция включва корекциите за общ кредитен риск, които са допустими за включване в К2, преди въвеждането на тавана, посочен в член 62, буква в) от Регламент (ЕС) № 575/2013.</w:t>
            </w:r>
          </w:p>
          <w:p w14:paraId="50B8B57C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Докладваната стойност е бруто от данъчни ефекти.</w:t>
            </w:r>
          </w:p>
        </w:tc>
      </w:tr>
      <w:tr w:rsidR="009D6580" w:rsidRPr="002A677E" w14:paraId="18048AF8" w14:textId="77777777" w:rsidTr="00822842">
        <w:tc>
          <w:tcPr>
            <w:tcW w:w="1188" w:type="dxa"/>
          </w:tcPr>
          <w:p w14:paraId="6BF1FDE0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0055</w:t>
            </w:r>
          </w:p>
        </w:tc>
        <w:tc>
          <w:tcPr>
            <w:tcW w:w="8640" w:type="dxa"/>
          </w:tcPr>
          <w:p w14:paraId="3DA55F27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Корекции за специфичен кредитен риск</w:t>
            </w:r>
          </w:p>
          <w:p w14:paraId="0C4040D9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Корекции за кредитен риск, посочени в член 110 от Регламент (ЕС) № 575/2013, както и в Регламент (ЕС) № 183/2014.</w:t>
            </w:r>
          </w:p>
        </w:tc>
      </w:tr>
      <w:tr w:rsidR="009D6580" w:rsidRPr="002A677E" w14:paraId="1433D694" w14:textId="77777777" w:rsidTr="00822842">
        <w:tc>
          <w:tcPr>
            <w:tcW w:w="1188" w:type="dxa"/>
          </w:tcPr>
          <w:p w14:paraId="0154002C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640" w:type="dxa"/>
          </w:tcPr>
          <w:p w14:paraId="0E9754AE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Отписвания</w:t>
            </w:r>
          </w:p>
          <w:p w14:paraId="5E984FA2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Отписвания, както е посочено в МСФО 9.5.4.4 и Б5.4.9.</w:t>
            </w:r>
          </w:p>
        </w:tc>
      </w:tr>
      <w:tr w:rsidR="009D6580" w:rsidRPr="002A677E" w14:paraId="1CFA94CF" w14:textId="77777777" w:rsidTr="00822842">
        <w:tc>
          <w:tcPr>
            <w:tcW w:w="1188" w:type="dxa"/>
          </w:tcPr>
          <w:p w14:paraId="23BBA9F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0061</w:t>
            </w:r>
          </w:p>
        </w:tc>
        <w:tc>
          <w:tcPr>
            <w:tcW w:w="8640" w:type="dxa"/>
          </w:tcPr>
          <w:p w14:paraId="7173ECB3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Допълнителни корекции на стойността и други намаления на собствените средства</w:t>
            </w:r>
          </w:p>
          <w:p w14:paraId="074C80EC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В съответствие с член 111 от Регламент (ЕС) № 575/2013.</w:t>
            </w:r>
          </w:p>
        </w:tc>
      </w:tr>
      <w:tr w:rsidR="009D6580" w:rsidRPr="002A677E" w14:paraId="2939F77F" w14:textId="77777777" w:rsidTr="00822842">
        <w:tc>
          <w:tcPr>
            <w:tcW w:w="1188" w:type="dxa"/>
          </w:tcPr>
          <w:p w14:paraId="542B901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26434907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Корекции на кредитен риск/отписвания за наблюдавани нови случаи на неизпълнение</w:t>
            </w:r>
          </w:p>
          <w:p w14:paraId="7E554B62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Сборът от корекциите на кредитния риск и отписванията за онези експозиции, които са класифицирани като „експозиции в неизпълнение“ по време на тримесечния период от подаване на данни.</w:t>
            </w:r>
          </w:p>
        </w:tc>
      </w:tr>
      <w:tr w:rsidR="009D6580" w:rsidRPr="002A677E" w14:paraId="2CA30DE3" w14:textId="77777777" w:rsidTr="00822842">
        <w:tc>
          <w:tcPr>
            <w:tcW w:w="1188" w:type="dxa"/>
          </w:tcPr>
          <w:p w14:paraId="2FD8979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0075</w:t>
            </w:r>
          </w:p>
        </w:tc>
        <w:tc>
          <w:tcPr>
            <w:tcW w:w="8640" w:type="dxa"/>
          </w:tcPr>
          <w:p w14:paraId="233BFDCE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Стойност на експозицията</w:t>
            </w:r>
          </w:p>
          <w:p w14:paraId="4F849709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Същото определение като за колона 0200 от образец CR SA.</w:t>
            </w:r>
          </w:p>
        </w:tc>
      </w:tr>
      <w:tr w:rsidR="009D6580" w:rsidRPr="002A677E" w14:paraId="09BD9174" w14:textId="77777777" w:rsidTr="00822842">
        <w:tc>
          <w:tcPr>
            <w:tcW w:w="1188" w:type="dxa"/>
          </w:tcPr>
          <w:p w14:paraId="06587A3C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640" w:type="dxa"/>
          </w:tcPr>
          <w:p w14:paraId="0B560F31" w14:textId="46CDE534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РИСКОВО ПРЕТЕГЛЕН РАЗМЕР НА ЕКСПОЗИЦИЯTA ПРЕДИ ПРИЛАГАНЕ НА КОЕФИЦИЕНТИ ЗА ПОДПОМАГАНЕ И ПРЕДИ ВАЛУТНИ НЕСЪОТВЕТСТВИЯ</w:t>
            </w:r>
          </w:p>
          <w:p w14:paraId="7F917189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Същото определение като за колона 0215 от образец CR SA.</w:t>
            </w:r>
          </w:p>
        </w:tc>
      </w:tr>
      <w:tr w:rsidR="009D6580" w:rsidRPr="002A677E" w14:paraId="172392A5" w14:textId="77777777" w:rsidTr="00822842">
        <w:tc>
          <w:tcPr>
            <w:tcW w:w="1188" w:type="dxa"/>
          </w:tcPr>
          <w:p w14:paraId="4881CC3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0081</w:t>
            </w:r>
          </w:p>
        </w:tc>
        <w:tc>
          <w:tcPr>
            <w:tcW w:w="8640" w:type="dxa"/>
          </w:tcPr>
          <w:p w14:paraId="3683E884" w14:textId="77777777" w:rsidR="009D6580" w:rsidRPr="002A677E" w:rsidRDefault="009D6580" w:rsidP="00822842">
            <w:pPr>
              <w:rPr>
                <w:rStyle w:val="InstructionsTabelleberschrift"/>
                <w:rFonts w:ascii="Times New Roman" w:hAnsi="Times New Roman"/>
                <w:sz w:val="32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КОРИГИРАНЕ НА РИСКОВО ПРЕТЕГЛЕНИЯ РАЗМЕР НА ЕКСПОЗИЦИИТЕ ПОРАДИ КОЕФИЦИЕНТА ЗА ПОДПОМАГАНЕ НА МСП</w:t>
            </w:r>
          </w:p>
          <w:p w14:paraId="7D7BF2EE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Същото определение като за колона 0216 от образец CR SA.</w:t>
            </w:r>
          </w:p>
        </w:tc>
      </w:tr>
      <w:tr w:rsidR="009D6580" w:rsidRPr="002A677E" w14:paraId="7C7A5C85" w14:textId="77777777" w:rsidTr="00822842">
        <w:tc>
          <w:tcPr>
            <w:tcW w:w="1188" w:type="dxa"/>
          </w:tcPr>
          <w:p w14:paraId="4ABD72EC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0082</w:t>
            </w:r>
          </w:p>
        </w:tc>
        <w:tc>
          <w:tcPr>
            <w:tcW w:w="8640" w:type="dxa"/>
          </w:tcPr>
          <w:p w14:paraId="60EE9D4D" w14:textId="77777777" w:rsidR="009D6580" w:rsidRPr="002A677E" w:rsidRDefault="009D6580" w:rsidP="00822842">
            <w:pPr>
              <w:rPr>
                <w:rStyle w:val="InstructionsTabelleberschrift"/>
                <w:rFonts w:ascii="Times New Roman" w:hAnsi="Times New Roman"/>
                <w:sz w:val="32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КОРИГИРАНЕ НА РИСКОВО ПРЕТЕГЛЕНИЯ РАЗМЕР НА ЕКСПОЗИЦИИТЕ ПОРАДИ КОЕФИЦИЕНТА ЗА ПОДПОМАГАНЕ НА ФИНАНСИРАНЕТО НА ИНФРАСТРУКТУРА</w:t>
            </w:r>
          </w:p>
          <w:p w14:paraId="3D157D72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Същото определение като за колона 0217 от образец CR SA.</w:t>
            </w:r>
          </w:p>
        </w:tc>
      </w:tr>
      <w:tr w:rsidR="009D6580" w:rsidRPr="002A677E" w14:paraId="2271C08F" w14:textId="77777777" w:rsidTr="00822842">
        <w:tc>
          <w:tcPr>
            <w:tcW w:w="1188" w:type="dxa"/>
          </w:tcPr>
          <w:p w14:paraId="7D3C5FE9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0090</w:t>
            </w:r>
          </w:p>
        </w:tc>
        <w:tc>
          <w:tcPr>
            <w:tcW w:w="8640" w:type="dxa"/>
          </w:tcPr>
          <w:p w14:paraId="784080AC" w14:textId="77777777" w:rsidR="00AF2BE6" w:rsidRDefault="009D6580" w:rsidP="00AF2BE6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РИСКОВО ПРЕТЕГЛЕН РАЗМЕР НА ЕКСПОЗИЦИЯTA СЛЕД ПРИЛАГАНЕ НА КОЕФИЦИЕНТИ ЗА ПОДПОМАГАНЕ И СЛЕД ВАЛУТНИ НЕСЪОТВЕТСТВИЯ</w:t>
            </w:r>
          </w:p>
          <w:p w14:paraId="5F17785F" w14:textId="6397E6C0" w:rsidR="009D6580" w:rsidRPr="002A677E" w:rsidRDefault="009D6580" w:rsidP="00AF2BE6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Същото определение като за колона 0220 от образец CR SA.</w:t>
            </w:r>
          </w:p>
        </w:tc>
      </w:tr>
    </w:tbl>
    <w:p w14:paraId="00F504F2" w14:textId="77777777" w:rsidR="009D6580" w:rsidRPr="002A677E" w:rsidRDefault="009D6580" w:rsidP="009D6580">
      <w:pPr>
        <w:rPr>
          <w:rFonts w:ascii="Times New Roman" w:hAnsi="Times New Roman"/>
          <w:sz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  <w:gridCol w:w="61"/>
      </w:tblGrid>
      <w:tr w:rsidR="009D6580" w:rsidRPr="002A677E" w14:paraId="603A14A1" w14:textId="77777777" w:rsidTr="00822842">
        <w:trPr>
          <w:gridAfter w:val="1"/>
          <w:wAfter w:w="61" w:type="dxa"/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52CB66F8" w14:textId="77777777" w:rsidR="009D6580" w:rsidRPr="002A677E" w:rsidRDefault="009D6580" w:rsidP="00822842">
            <w:pPr>
              <w:spacing w:after="0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Редове</w:t>
            </w:r>
          </w:p>
        </w:tc>
      </w:tr>
      <w:tr w:rsidR="009D6580" w:rsidRPr="002A677E" w14:paraId="118E5421" w14:textId="77777777" w:rsidTr="00822842">
        <w:tc>
          <w:tcPr>
            <w:tcW w:w="1188" w:type="dxa"/>
            <w:shd w:val="clear" w:color="auto" w:fill="FFFFFF"/>
          </w:tcPr>
          <w:p w14:paraId="2F36564E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299C4CD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Централни правителства или централни банки</w:t>
            </w:r>
          </w:p>
          <w:p w14:paraId="701FDDD6" w14:textId="77777777" w:rsidR="009D6580" w:rsidRPr="002A677E" w:rsidRDefault="009D6580" w:rsidP="00822842">
            <w:pPr>
              <w:ind w:left="72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112, буква а) от Регламент (ЕС) № 575/2013</w:t>
            </w:r>
          </w:p>
        </w:tc>
      </w:tr>
      <w:tr w:rsidR="009D6580" w:rsidRPr="002A677E" w14:paraId="68375DB0" w14:textId="77777777" w:rsidTr="00822842">
        <w:tc>
          <w:tcPr>
            <w:tcW w:w="1188" w:type="dxa"/>
            <w:shd w:val="clear" w:color="auto" w:fill="FFFFFF"/>
          </w:tcPr>
          <w:p w14:paraId="1C3E335B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944FAD5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Регионални правителства или местни органи на властта</w:t>
            </w:r>
          </w:p>
          <w:p w14:paraId="06578FE1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112, буква б) от Регламент (ЕС) № 575/2013</w:t>
            </w:r>
          </w:p>
        </w:tc>
      </w:tr>
      <w:tr w:rsidR="009D6580" w:rsidRPr="002A677E" w14:paraId="586A7704" w14:textId="77777777" w:rsidTr="00822842">
        <w:tc>
          <w:tcPr>
            <w:tcW w:w="1188" w:type="dxa"/>
            <w:shd w:val="clear" w:color="auto" w:fill="FFFFFF"/>
          </w:tcPr>
          <w:p w14:paraId="2F12168F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63F83BD2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Субекти от публичния сектор</w:t>
            </w:r>
          </w:p>
          <w:p w14:paraId="451BD941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112, буква в) от Регламент (ЕС) № 575/2013</w:t>
            </w:r>
          </w:p>
        </w:tc>
      </w:tr>
      <w:tr w:rsidR="009D6580" w:rsidRPr="002A677E" w14:paraId="6FF0246D" w14:textId="77777777" w:rsidTr="00822842">
        <w:tc>
          <w:tcPr>
            <w:tcW w:w="1188" w:type="dxa"/>
            <w:shd w:val="clear" w:color="auto" w:fill="FFFFFF"/>
          </w:tcPr>
          <w:p w14:paraId="0764BD9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3EC9AA89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Многостранни банки за развитие</w:t>
            </w:r>
          </w:p>
          <w:p w14:paraId="59A02674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112, буква г) от Регламент (ЕС) № 575/2013</w:t>
            </w:r>
          </w:p>
        </w:tc>
      </w:tr>
      <w:tr w:rsidR="009D6580" w:rsidRPr="002A677E" w14:paraId="6E3FD4C2" w14:textId="77777777" w:rsidTr="00822842">
        <w:tc>
          <w:tcPr>
            <w:tcW w:w="1188" w:type="dxa"/>
            <w:shd w:val="clear" w:color="auto" w:fill="FFFFFF"/>
          </w:tcPr>
          <w:p w14:paraId="6AB26633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907B56D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Международни организации</w:t>
            </w:r>
          </w:p>
          <w:p w14:paraId="17C7FCF4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112, буква д) от Регламент (ЕС) № 575/2013</w:t>
            </w:r>
          </w:p>
        </w:tc>
      </w:tr>
      <w:tr w:rsidR="009D6580" w:rsidRPr="002A677E" w14:paraId="4CDD7211" w14:textId="77777777" w:rsidTr="00822842">
        <w:tc>
          <w:tcPr>
            <w:tcW w:w="1188" w:type="dxa"/>
            <w:shd w:val="clear" w:color="auto" w:fill="FFFFFF"/>
          </w:tcPr>
          <w:p w14:paraId="21D2188E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404BFA7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Институции</w:t>
            </w:r>
          </w:p>
          <w:p w14:paraId="153928C3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112, буква е) от Регламент (ЕС) № 575/2013</w:t>
            </w:r>
          </w:p>
        </w:tc>
      </w:tr>
      <w:tr w:rsidR="009D6580" w:rsidRPr="002A677E" w14:paraId="7EB39EC1" w14:textId="77777777" w:rsidTr="00822842">
        <w:tc>
          <w:tcPr>
            <w:tcW w:w="1188" w:type="dxa"/>
            <w:shd w:val="clear" w:color="auto" w:fill="FFFFFF"/>
          </w:tcPr>
          <w:p w14:paraId="666DDCFA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FC344C1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Предприятия</w:t>
            </w:r>
          </w:p>
          <w:p w14:paraId="2131631A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112, буква ж) от Регламент (ЕС) № 575/2013</w:t>
            </w:r>
          </w:p>
        </w:tc>
      </w:tr>
      <w:tr w:rsidR="009D6580" w:rsidRPr="002A677E" w14:paraId="03BB556F" w14:textId="77777777" w:rsidTr="00822842">
        <w:tc>
          <w:tcPr>
            <w:tcW w:w="1188" w:type="dxa"/>
            <w:shd w:val="clear" w:color="auto" w:fill="FFFFFF"/>
          </w:tcPr>
          <w:p w14:paraId="4BDE48CD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299BAF86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в т.ч.: МСП</w:t>
            </w:r>
          </w:p>
          <w:p w14:paraId="54A9735B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Същото определение като за ред 0020 от образец CR SA.</w:t>
            </w:r>
          </w:p>
        </w:tc>
      </w:tr>
      <w:tr w:rsidR="009D6580" w:rsidRPr="002A677E" w14:paraId="134D23F8" w14:textId="77777777" w:rsidTr="00822842">
        <w:tc>
          <w:tcPr>
            <w:tcW w:w="1188" w:type="dxa"/>
            <w:shd w:val="clear" w:color="auto" w:fill="FFFFFF"/>
          </w:tcPr>
          <w:p w14:paraId="44C941F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0076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7F474DF" w14:textId="77777777" w:rsidR="009D6580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В т.ч.: Специализирано кредитиране</w:t>
            </w:r>
          </w:p>
          <w:p w14:paraId="78348E89" w14:textId="77777777" w:rsidR="009D6580" w:rsidRPr="000059B8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Член 122a от Регламент (ЕС) № 575/2013.</w:t>
            </w:r>
          </w:p>
        </w:tc>
      </w:tr>
      <w:tr w:rsidR="009D6580" w:rsidRPr="002A677E" w14:paraId="128893B5" w14:textId="77777777" w:rsidTr="00822842">
        <w:tc>
          <w:tcPr>
            <w:tcW w:w="1188" w:type="dxa"/>
            <w:shd w:val="clear" w:color="auto" w:fill="FFFFFF"/>
          </w:tcPr>
          <w:p w14:paraId="1169A0DC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C4CE181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На дребно</w:t>
            </w:r>
          </w:p>
          <w:p w14:paraId="4C73D393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112, буква з) от Регламент (ЕС) № 575/2013</w:t>
            </w:r>
          </w:p>
        </w:tc>
      </w:tr>
      <w:tr w:rsidR="009D6580" w:rsidRPr="002A677E" w14:paraId="1D7D32D9" w14:textId="77777777" w:rsidTr="00822842">
        <w:tc>
          <w:tcPr>
            <w:tcW w:w="1188" w:type="dxa"/>
            <w:shd w:val="clear" w:color="auto" w:fill="FFFFFF"/>
          </w:tcPr>
          <w:p w14:paraId="1C975069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3F494D2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в т.ч.: МСП</w:t>
            </w:r>
          </w:p>
          <w:p w14:paraId="08FE43D7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Същото определение като за ред 0020 от образец CR SA.</w:t>
            </w:r>
          </w:p>
        </w:tc>
      </w:tr>
      <w:tr w:rsidR="009D6580" w:rsidRPr="002A677E" w14:paraId="3E90F1DB" w14:textId="77777777" w:rsidTr="00822842">
        <w:tc>
          <w:tcPr>
            <w:tcW w:w="1188" w:type="dxa"/>
            <w:shd w:val="clear" w:color="auto" w:fill="FFFFFF"/>
          </w:tcPr>
          <w:p w14:paraId="67147AF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7BDF7D3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Обезпечени с ипотеки върху недвижими имоти и експозиции по придобиване, разработване и строителство (ПРС) на терени</w:t>
            </w:r>
          </w:p>
          <w:p w14:paraId="6DD925ED" w14:textId="77777777" w:rsidR="009D6580" w:rsidRPr="002A677E" w:rsidRDefault="009D6580" w:rsidP="00822842">
            <w:pPr>
              <w:ind w:left="72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112, буква и) от Регламент (ЕС) № 575/2013</w:t>
            </w:r>
          </w:p>
        </w:tc>
      </w:tr>
      <w:tr w:rsidR="0020657D" w:rsidRPr="002A677E" w14:paraId="121569F5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F9610" w14:textId="778F3300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0091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CA920" w14:textId="65F7321C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Обезпечени с ипотеки върху жилищни недвижими имоти – които не са ОДНИ (обезпечени)</w:t>
            </w:r>
          </w:p>
          <w:p w14:paraId="5BC0E4C6" w14:textId="5F815813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Вж. образец CR SA</w:t>
            </w:r>
          </w:p>
        </w:tc>
      </w:tr>
      <w:tr w:rsidR="0020657D" w:rsidRPr="002A677E" w14:paraId="25B6933C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E904D" w14:textId="7F2711DF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2D1EF" w14:textId="72958AEA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Обезпечени с ипотеки върху жилищни недвижими имоти – които не са ОДНИ (необезпечени)</w:t>
            </w:r>
          </w:p>
          <w:p w14:paraId="607C903E" w14:textId="583159EA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Вж. образец CR SA</w:t>
            </w:r>
          </w:p>
        </w:tc>
      </w:tr>
      <w:tr w:rsidR="0020657D" w:rsidRPr="002A677E" w14:paraId="701555A6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B302C" w14:textId="18CEE166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3FDD9" w14:textId="16FA23A8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Обезпечени с ипотеки върху жилищни недвижими имоти – Други – които не са ОДНИ</w:t>
            </w:r>
          </w:p>
          <w:p w14:paraId="311E3CF5" w14:textId="5245D766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Вж. образец CR SA</w:t>
            </w:r>
          </w:p>
        </w:tc>
      </w:tr>
      <w:tr w:rsidR="0020657D" w:rsidRPr="002A677E" w14:paraId="615EF345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3A88D" w14:textId="63260C8C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0094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6351D" w14:textId="44D3576D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Обезпечени с ипотеки върху жилищни недвижими имоти – ОДНИ</w:t>
            </w:r>
          </w:p>
          <w:p w14:paraId="2090782C" w14:textId="64D92CBC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Вж. образец CR SA</w:t>
            </w:r>
          </w:p>
        </w:tc>
      </w:tr>
      <w:tr w:rsidR="0020657D" w:rsidRPr="002A677E" w14:paraId="7CA1FEE3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77C41" w14:textId="4CF840EB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0900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68974" w14:textId="0C6812F1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Обезпечени с ипотеки върху жилищни недвижими имоти – Други – ОДНИ</w:t>
            </w:r>
          </w:p>
          <w:p w14:paraId="18E3F7B1" w14:textId="00D9A105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Вж. образец CR SA</w:t>
            </w:r>
          </w:p>
        </w:tc>
      </w:tr>
      <w:tr w:rsidR="0020657D" w:rsidRPr="002A677E" w14:paraId="1B8412D1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C5681" w14:textId="00CB1918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0901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F7F6F" w14:textId="3D113128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Обезпечени с ипотеки върху търговски недвижими имоти – които не са ОДНИ (обезпечени)</w:t>
            </w:r>
          </w:p>
          <w:p w14:paraId="1DD8A6CF" w14:textId="2D56F96D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Вж. образец CR SA</w:t>
            </w:r>
          </w:p>
        </w:tc>
      </w:tr>
      <w:tr w:rsidR="0020657D" w:rsidRPr="002A677E" w14:paraId="4BB5A6B7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29792" w14:textId="67A4B384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0902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D85FF" w14:textId="01F00A09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Обезпечени с ипотеки върху търговски недвижими имоти – които не са ОДНИ (необезпечени)</w:t>
            </w:r>
          </w:p>
          <w:p w14:paraId="37DA45D4" w14:textId="1AC5F0E1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Вж. образец CR SA</w:t>
            </w:r>
          </w:p>
        </w:tc>
      </w:tr>
      <w:tr w:rsidR="0020657D" w:rsidRPr="002A677E" w14:paraId="51A35A79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98603" w14:textId="70C97B22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0903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6D829" w14:textId="34287D44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Обезпечени с ипотеки върху търговски недвижими имоти – Други – които не са ОДНИ</w:t>
            </w:r>
          </w:p>
          <w:p w14:paraId="653F8A23" w14:textId="727D9E51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Вж. образец CR SA</w:t>
            </w:r>
          </w:p>
        </w:tc>
      </w:tr>
      <w:tr w:rsidR="0020657D" w:rsidRPr="002A677E" w14:paraId="638CB8D2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2B42B" w14:textId="774FFF1B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0904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691C9" w14:textId="20A87DF1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Обезпечени с ипотеки върху търговски недвижими имоти – ОДНИ</w:t>
            </w:r>
          </w:p>
          <w:p w14:paraId="5C23C6C1" w14:textId="64A934FD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Вж. образец CR SA</w:t>
            </w:r>
          </w:p>
        </w:tc>
      </w:tr>
      <w:tr w:rsidR="0020657D" w:rsidRPr="002A677E" w14:paraId="09F113E4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B40E8" w14:textId="0E4A9F4B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0905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5DE58" w14:textId="7E237189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Обезпечени с ипотеки върху търговски недвижими имоти – Други – ОДНИ</w:t>
            </w:r>
          </w:p>
          <w:p w14:paraId="4CFFBC8C" w14:textId="16697C60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Вж. образец CR SA</w:t>
            </w:r>
          </w:p>
        </w:tc>
      </w:tr>
      <w:tr w:rsidR="0020657D" w:rsidRPr="002A677E" w14:paraId="0CC83534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4BAD1" w14:textId="4C383CF0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0906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FA51D" w14:textId="404C4240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Придобиване, разработване и строителство (ПРС) на терени</w:t>
            </w:r>
          </w:p>
          <w:p w14:paraId="0CFE246E" w14:textId="00399E0A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Вж. образец CR SA</w:t>
            </w:r>
          </w:p>
        </w:tc>
      </w:tr>
      <w:tr w:rsidR="009D6580" w:rsidRPr="002A677E" w14:paraId="4C9413B7" w14:textId="77777777" w:rsidTr="00822842">
        <w:tc>
          <w:tcPr>
            <w:tcW w:w="1188" w:type="dxa"/>
            <w:shd w:val="clear" w:color="auto" w:fill="FFFFFF"/>
          </w:tcPr>
          <w:p w14:paraId="5E67C510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4DFFD2E6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в т.ч.: МСП</w:t>
            </w:r>
          </w:p>
          <w:p w14:paraId="6A4AA475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Същото определение като за ред 0020 от образец CR SA.</w:t>
            </w:r>
          </w:p>
        </w:tc>
      </w:tr>
      <w:tr w:rsidR="009D6580" w:rsidRPr="002A677E" w14:paraId="0A879D31" w14:textId="77777777" w:rsidTr="00822842">
        <w:tc>
          <w:tcPr>
            <w:tcW w:w="1188" w:type="dxa"/>
            <w:shd w:val="clear" w:color="auto" w:fill="FFFFFF"/>
          </w:tcPr>
          <w:p w14:paraId="67C52CF1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25A151C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Експозиции в неизпълнение</w:t>
            </w:r>
          </w:p>
          <w:p w14:paraId="24E89ACE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112, буква й) от Регламент (ЕС) № 575/2013</w:t>
            </w:r>
          </w:p>
        </w:tc>
      </w:tr>
      <w:tr w:rsidR="009D6580" w:rsidRPr="002A677E" w14:paraId="09CAD285" w14:textId="77777777" w:rsidTr="00822842">
        <w:tc>
          <w:tcPr>
            <w:tcW w:w="1188" w:type="dxa"/>
            <w:shd w:val="clear" w:color="auto" w:fill="FFFFFF"/>
          </w:tcPr>
          <w:p w14:paraId="0FA617CD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0115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1EBD362" w14:textId="77777777" w:rsidR="009D6580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Експозиции към подчинен дълг</w:t>
            </w:r>
          </w:p>
          <w:p w14:paraId="7F19547A" w14:textId="77777777" w:rsidR="009D6580" w:rsidRPr="000059B8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Член 112, буква к) от Регламент (ЕС) № 575/2013</w:t>
            </w:r>
          </w:p>
        </w:tc>
      </w:tr>
      <w:tr w:rsidR="009D6580" w:rsidRPr="002A677E" w14:paraId="7674C8D0" w14:textId="77777777" w:rsidTr="00822842">
        <w:tc>
          <w:tcPr>
            <w:tcW w:w="1188" w:type="dxa"/>
            <w:shd w:val="clear" w:color="auto" w:fill="FFFFFF"/>
          </w:tcPr>
          <w:p w14:paraId="0BFA54D1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D949A7D" w14:textId="77777777" w:rsidR="009D6580" w:rsidRPr="002A677E" w:rsidRDefault="009D6580" w:rsidP="00822842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Покрити облигации</w:t>
            </w:r>
          </w:p>
          <w:p w14:paraId="68F7689A" w14:textId="77777777" w:rsidR="009D6580" w:rsidRPr="002A677E" w:rsidRDefault="009D6580" w:rsidP="00822842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Text"/>
                <w:rFonts w:ascii="Times New Roman" w:hAnsi="Times New Roman"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Член 112, буква л) от Регламент (ЕС) № 575/2013</w:t>
            </w:r>
          </w:p>
        </w:tc>
      </w:tr>
      <w:tr w:rsidR="009D6580" w:rsidRPr="002A677E" w14:paraId="18458816" w14:textId="77777777" w:rsidTr="00822842">
        <w:tc>
          <w:tcPr>
            <w:tcW w:w="1188" w:type="dxa"/>
            <w:shd w:val="clear" w:color="auto" w:fill="FFFFFF"/>
          </w:tcPr>
          <w:p w14:paraId="7948D0D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  <w:p w14:paraId="7980BCEA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01" w:type="dxa"/>
            <w:gridSpan w:val="2"/>
            <w:shd w:val="clear" w:color="auto" w:fill="FFFFFF"/>
          </w:tcPr>
          <w:p w14:paraId="5ADC641A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Вземания към институции и предприятия с краткосрочна кредитна оценка</w:t>
            </w:r>
          </w:p>
          <w:p w14:paraId="53F92677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112, буква н) от Регламент (ЕС) № 575/2013</w:t>
            </w:r>
          </w:p>
        </w:tc>
      </w:tr>
      <w:tr w:rsidR="009D6580" w:rsidRPr="002A677E" w14:paraId="047E6212" w14:textId="77777777" w:rsidTr="00822842">
        <w:tc>
          <w:tcPr>
            <w:tcW w:w="1188" w:type="dxa"/>
            <w:shd w:val="clear" w:color="auto" w:fill="FFFFFF"/>
          </w:tcPr>
          <w:p w14:paraId="3E827A33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2E96D7EF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Предприятия за колективно инвестиране (ПКИ)</w:t>
            </w:r>
          </w:p>
          <w:p w14:paraId="6BE6CAC2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112, буква о) от Регламент (ЕС) № 575/2013</w:t>
            </w:r>
          </w:p>
          <w:p w14:paraId="0FFD53A4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Сборът на редове 0141—0143.</w:t>
            </w:r>
          </w:p>
        </w:tc>
      </w:tr>
      <w:tr w:rsidR="009D6580" w:rsidRPr="002A677E" w14:paraId="1E100EF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F572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91D5D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Подход на подробен преглед</w:t>
            </w:r>
          </w:p>
          <w:p w14:paraId="00783183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Същото определение като за ред 0281 от образец CR SA.</w:t>
            </w:r>
          </w:p>
        </w:tc>
      </w:tr>
      <w:tr w:rsidR="009D6580" w:rsidRPr="002A677E" w14:paraId="10D57CC4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AB8D3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16A9B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Мандатен подход</w:t>
            </w:r>
          </w:p>
          <w:p w14:paraId="1FD38657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Същото определение като за ред 0282 от образец CR SA.</w:t>
            </w:r>
          </w:p>
        </w:tc>
      </w:tr>
      <w:tr w:rsidR="009D6580" w:rsidRPr="002A677E" w14:paraId="3E0CB8ED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037C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8BF90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Алтернативен подход</w:t>
            </w:r>
          </w:p>
          <w:p w14:paraId="2EA9AADD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Същото определение като за ред 0283 от образец CR SA.</w:t>
            </w:r>
          </w:p>
        </w:tc>
      </w:tr>
      <w:tr w:rsidR="009D6580" w:rsidRPr="002A677E" w14:paraId="518DACEB" w14:textId="77777777" w:rsidTr="00822842">
        <w:tc>
          <w:tcPr>
            <w:tcW w:w="1188" w:type="dxa"/>
            <w:shd w:val="clear" w:color="auto" w:fill="FFFFFF"/>
          </w:tcPr>
          <w:p w14:paraId="091F315F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0CB5B1C0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Експозиции в капиталови инструменти</w:t>
            </w:r>
          </w:p>
          <w:p w14:paraId="3170DAFB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112, буква п) от Регламент (ЕС) № 575/2013</w:t>
            </w:r>
          </w:p>
        </w:tc>
      </w:tr>
      <w:tr w:rsidR="009D6580" w:rsidRPr="002A677E" w14:paraId="406875C9" w14:textId="77777777" w:rsidTr="00822842">
        <w:tc>
          <w:tcPr>
            <w:tcW w:w="1188" w:type="dxa"/>
            <w:shd w:val="clear" w:color="auto" w:fill="FFFFFF"/>
          </w:tcPr>
          <w:p w14:paraId="432F9620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39F32E7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Други експозиции</w:t>
            </w:r>
          </w:p>
          <w:p w14:paraId="5D708342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112, буква р) от Регламент (ЕС) № 575/2013</w:t>
            </w:r>
          </w:p>
        </w:tc>
      </w:tr>
      <w:tr w:rsidR="009D6580" w:rsidRPr="002A677E" w14:paraId="79E704E6" w14:textId="77777777" w:rsidTr="00822842">
        <w:tc>
          <w:tcPr>
            <w:tcW w:w="1188" w:type="dxa"/>
            <w:shd w:val="clear" w:color="auto" w:fill="FFFFFF"/>
          </w:tcPr>
          <w:p w14:paraId="027B6EB3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45271DD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Общо експозиции</w:t>
            </w:r>
          </w:p>
        </w:tc>
      </w:tr>
    </w:tbl>
    <w:p w14:paraId="2EB3E5B0" w14:textId="77777777" w:rsidR="009D6580" w:rsidRPr="002A677E" w:rsidRDefault="009D6580" w:rsidP="009D6580">
      <w:pPr>
        <w:spacing w:before="0" w:after="200" w:line="312" w:lineRule="auto"/>
        <w:jc w:val="left"/>
        <w:rPr>
          <w:rFonts w:ascii="Times New Roman" w:hAnsi="Times New Roman"/>
          <w:sz w:val="24"/>
        </w:rPr>
      </w:pPr>
      <w:bookmarkStart w:id="3" w:name="_Toc292456210"/>
    </w:p>
    <w:p w14:paraId="467F6DC6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4" w:name="_Toc360188364"/>
      <w:bookmarkStart w:id="5" w:name="_Toc473560915"/>
      <w:bookmarkStart w:id="6" w:name="_Toc151714419"/>
      <w:r>
        <w:rPr>
          <w:rFonts w:ascii="Times New Roman" w:hAnsi="Times New Roman"/>
          <w:sz w:val="24"/>
          <w:u w:val="none"/>
        </w:rPr>
        <w:t>3.4.2.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C 09.02 — Географска разбивка на експозициите по местопребиваване на длъжника: Експозиции по вътрешнорейтинговия подход</w:t>
      </w:r>
      <w:bookmarkEnd w:id="4"/>
      <w:r>
        <w:rPr>
          <w:rFonts w:ascii="Times New Roman" w:hAnsi="Times New Roman"/>
          <w:sz w:val="24"/>
        </w:rPr>
        <w:t xml:space="preserve"> (CR GB 2)</w:t>
      </w:r>
      <w:bookmarkEnd w:id="5"/>
      <w:bookmarkEnd w:id="6"/>
    </w:p>
    <w:p w14:paraId="21A320CB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7" w:name="_Toc360188365"/>
      <w:bookmarkStart w:id="8" w:name="_Toc473560916"/>
      <w:bookmarkStart w:id="9" w:name="_Toc151714420"/>
      <w:r>
        <w:rPr>
          <w:rFonts w:ascii="Times New Roman" w:hAnsi="Times New Roman"/>
          <w:sz w:val="24"/>
          <w:u w:val="none"/>
        </w:rPr>
        <w:t>3.4.2.1.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Указания относно конкретни позиции</w:t>
      </w:r>
      <w:bookmarkEnd w:id="7"/>
      <w:bookmarkEnd w:id="8"/>
      <w:bookmarkEnd w:id="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2A677E" w14:paraId="5FD232EC" w14:textId="77777777" w:rsidTr="00822842">
        <w:tc>
          <w:tcPr>
            <w:tcW w:w="1188" w:type="dxa"/>
            <w:shd w:val="clear" w:color="auto" w:fill="CCCCCC"/>
          </w:tcPr>
          <w:p w14:paraId="0A2DD9C0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Колони</w:t>
            </w:r>
          </w:p>
        </w:tc>
        <w:tc>
          <w:tcPr>
            <w:tcW w:w="8640" w:type="dxa"/>
            <w:shd w:val="clear" w:color="auto" w:fill="CCCCCC"/>
          </w:tcPr>
          <w:p w14:paraId="1C07519A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4CF7BB7D" w14:textId="77777777" w:rsidTr="00822842">
        <w:tc>
          <w:tcPr>
            <w:tcW w:w="1188" w:type="dxa"/>
          </w:tcPr>
          <w:p w14:paraId="1DF8677F" w14:textId="77777777" w:rsidR="009D6580" w:rsidRPr="002A677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5DA72BDB" w14:textId="77777777" w:rsidR="009D6580" w:rsidRPr="002A677E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ПЪРВОНАЧАЛНА ЕКСПОЗИЦИЯ ПРЕДИ ПРИЛАГАНЕТО НА КОНВЕРСИОННИТЕ КОЕФИЦИЕНТИ</w:t>
            </w:r>
          </w:p>
          <w:p w14:paraId="714A5DA7" w14:textId="77777777" w:rsidR="009D6580" w:rsidRPr="002A677E" w:rsidRDefault="009D6580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Същото определение като за колона 0020 от образец CR IRB.</w:t>
            </w:r>
          </w:p>
        </w:tc>
      </w:tr>
      <w:tr w:rsidR="009D6580" w:rsidRPr="002A677E" w14:paraId="770F3897" w14:textId="77777777" w:rsidTr="00822842">
        <w:tc>
          <w:tcPr>
            <w:tcW w:w="1188" w:type="dxa"/>
          </w:tcPr>
          <w:p w14:paraId="56E092EF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640" w:type="dxa"/>
          </w:tcPr>
          <w:p w14:paraId="0071C394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в т.ч. в неизпълнение</w:t>
            </w:r>
          </w:p>
          <w:p w14:paraId="2768B5B2" w14:textId="77777777" w:rsidR="009D6580" w:rsidRPr="002A677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Стойността на първоначалната експозиция за онези експозиции, които са класифицирани като „експозиции в неизпълнение“ в съответствие с член 178 от Регламент (ЕС) № 575/2013.</w:t>
            </w:r>
          </w:p>
        </w:tc>
      </w:tr>
      <w:tr w:rsidR="009D6580" w:rsidRPr="002A677E" w14:paraId="7AD6E18B" w14:textId="77777777" w:rsidTr="00822842">
        <w:tc>
          <w:tcPr>
            <w:tcW w:w="1188" w:type="dxa"/>
          </w:tcPr>
          <w:p w14:paraId="1DFAF6C6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0040</w:t>
            </w:r>
          </w:p>
        </w:tc>
        <w:tc>
          <w:tcPr>
            <w:tcW w:w="8640" w:type="dxa"/>
          </w:tcPr>
          <w:p w14:paraId="3FD9DA2E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Наблюдавани нови случаи на неизпълнение за периода</w:t>
            </w:r>
          </w:p>
          <w:p w14:paraId="2393DECB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Стойността на първоначалните експозиции, които са класифицирани като „експозиции в неизпълнение“ по време на 3-месечния период от последната референтна дата на докладване, се докладва спрямо класа експозиции, към който длъжникът първоначално е принадлежал. </w:t>
            </w:r>
          </w:p>
        </w:tc>
      </w:tr>
      <w:tr w:rsidR="009D6580" w:rsidRPr="002A677E" w14:paraId="382342DD" w14:textId="77777777" w:rsidTr="00822842">
        <w:tc>
          <w:tcPr>
            <w:tcW w:w="1188" w:type="dxa"/>
          </w:tcPr>
          <w:p w14:paraId="20977C7F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640" w:type="dxa"/>
          </w:tcPr>
          <w:p w14:paraId="6E8FD64C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Корекции за общ кредитен риск</w:t>
            </w:r>
          </w:p>
          <w:p w14:paraId="1F1D0A5D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Корекции за кредитен риск, посочени в член 110 от Регламент (ЕС) № 575/2013, както и в Регламент (ЕС) № 183/2014</w:t>
            </w:r>
          </w:p>
        </w:tc>
      </w:tr>
      <w:tr w:rsidR="009D6580" w:rsidRPr="002A677E" w14:paraId="63C2E396" w14:textId="77777777" w:rsidTr="00822842">
        <w:tc>
          <w:tcPr>
            <w:tcW w:w="1188" w:type="dxa"/>
          </w:tcPr>
          <w:p w14:paraId="3BC8F12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0055</w:t>
            </w:r>
          </w:p>
        </w:tc>
        <w:tc>
          <w:tcPr>
            <w:tcW w:w="8640" w:type="dxa"/>
          </w:tcPr>
          <w:p w14:paraId="26D828FB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Корекции за специфичен кредитен риск</w:t>
            </w:r>
          </w:p>
          <w:p w14:paraId="4DA8E76B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Корекции за кредитен риск, посочени в член 110 от Регламент (ЕС) № 575/2013, както и в Регламент (ЕС) № 183/2014</w:t>
            </w:r>
          </w:p>
        </w:tc>
      </w:tr>
      <w:tr w:rsidR="009D6580" w:rsidRPr="002A677E" w14:paraId="24582208" w14:textId="77777777" w:rsidTr="00822842">
        <w:tc>
          <w:tcPr>
            <w:tcW w:w="1188" w:type="dxa"/>
          </w:tcPr>
          <w:p w14:paraId="46A1EB0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640" w:type="dxa"/>
          </w:tcPr>
          <w:p w14:paraId="4CC236D8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Отписвания</w:t>
            </w:r>
          </w:p>
          <w:p w14:paraId="51BEEB5D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Отписвания, както е посочено в МСФО 9.5.4.4 и Б5.4.9.</w:t>
            </w:r>
          </w:p>
        </w:tc>
      </w:tr>
      <w:tr w:rsidR="009D6580" w:rsidRPr="002A677E" w14:paraId="615BD0D9" w14:textId="77777777" w:rsidTr="00822842">
        <w:tc>
          <w:tcPr>
            <w:tcW w:w="1188" w:type="dxa"/>
          </w:tcPr>
          <w:p w14:paraId="641E5F2D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7C362C1E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Корекции на кредитен риск/отписвания за наблюдавани нови случаи на неизпълнение</w:t>
            </w:r>
          </w:p>
          <w:p w14:paraId="454774E2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Сборът от корекциите на кредитния риск и отписванията за онези експозиции, които са класифицирани като „експозиции в неизпълнение“ по време на тримесечния период от последното подаване на данни.</w:t>
            </w:r>
          </w:p>
        </w:tc>
      </w:tr>
      <w:tr w:rsidR="009D6580" w:rsidRPr="002A677E" w14:paraId="4B7452D7" w14:textId="77777777" w:rsidTr="00822842">
        <w:tc>
          <w:tcPr>
            <w:tcW w:w="1188" w:type="dxa"/>
          </w:tcPr>
          <w:p w14:paraId="1A68115E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640" w:type="dxa"/>
          </w:tcPr>
          <w:p w14:paraId="256EF248" w14:textId="77777777" w:rsidR="009D6580" w:rsidRPr="002A677E" w:rsidRDefault="009D6580" w:rsidP="00822842">
            <w:pPr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ВЪТРЕШНОРЕЙТИНГОВА СКАЛА / ВЕРОЯТНОСТ ОТ НЕИЗПЪЛНЕНИЕ, ОТНЕСЕНА КЪМ КАТЕГОРИИ ИЛИ ГРУПИ ДЛЪЖНИЦИ (%)</w:t>
            </w:r>
          </w:p>
          <w:p w14:paraId="2C51714D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Същото определение като за колона 0010 от образец CR IRB.</w:t>
            </w:r>
          </w:p>
        </w:tc>
      </w:tr>
      <w:tr w:rsidR="009D6580" w:rsidRPr="002A677E" w14:paraId="18989AFE" w14:textId="77777777" w:rsidTr="00822842">
        <w:tc>
          <w:tcPr>
            <w:tcW w:w="1188" w:type="dxa"/>
          </w:tcPr>
          <w:p w14:paraId="489AE0F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640" w:type="dxa"/>
          </w:tcPr>
          <w:p w14:paraId="78B53BEB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СРЕДНОПРЕТЕГЛЕНА ПО ЕКСПОЗИЦИИ ЗАГУБА ПРИ НЕИЗПЪЛНЕНИЕ (LGD) (%)</w:t>
            </w:r>
          </w:p>
          <w:p w14:paraId="5BC89E8E" w14:textId="77777777" w:rsidR="009D6580" w:rsidRPr="002A677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Същото определение като за колони 0230 и 0240 от образец CR IRB: среднопретеглената по експозиции загуба от неизпълнение (LGD) (%) се отнася до всички експозиции, в т.ч. експозициите към големи предприятия от финансовия сектор и към нерегулирани финансови предприятия. </w:t>
            </w:r>
            <w:r>
              <w:rPr>
                <w:rFonts w:ascii="Times New Roman" w:hAnsi="Times New Roman"/>
                <w:sz w:val="24"/>
              </w:rPr>
              <w:t>Прилага се член 181, параграф 1, буква з) от Регламент (ЕС) № 575/2013.</w:t>
            </w:r>
          </w:p>
          <w:p w14:paraId="3A7794EA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За експозиции по специализирано кредитиране, при които вероятността от неизпълнение се оценява, докладваната стойност следва да бъде или прогнозната, или регулаторната загуба при неизпълнение. Данните за експозициите по специализирано кредитиране, посочени в член 153, параграф 5 от Регламент (ЕС) № 575/2013, не могат да бъдат докладвани, тъй като не са налични.</w:t>
            </w:r>
          </w:p>
        </w:tc>
      </w:tr>
      <w:tr w:rsidR="009D6580" w:rsidRPr="002A677E" w14:paraId="66756C12" w14:textId="77777777" w:rsidTr="00822842">
        <w:tc>
          <w:tcPr>
            <w:tcW w:w="1188" w:type="dxa"/>
          </w:tcPr>
          <w:p w14:paraId="317ECEC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640" w:type="dxa"/>
          </w:tcPr>
          <w:p w14:paraId="68CF6D3A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В т.ч.: в неизпълнение</w:t>
            </w:r>
          </w:p>
          <w:p w14:paraId="789E281A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Претеглена по експозиции LGD за онези експозиции, които са класифицирани като „експозиции в неизпълнение“ в съответствие с член 178 от Регламент (ЕС) № 575/2013.</w:t>
            </w:r>
          </w:p>
        </w:tc>
      </w:tr>
      <w:tr w:rsidR="009D6580" w:rsidRPr="002A677E" w14:paraId="187792F5" w14:textId="77777777" w:rsidTr="00822842">
        <w:tc>
          <w:tcPr>
            <w:tcW w:w="1188" w:type="dxa"/>
          </w:tcPr>
          <w:p w14:paraId="41BFEDD8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0105</w:t>
            </w:r>
          </w:p>
        </w:tc>
        <w:tc>
          <w:tcPr>
            <w:tcW w:w="8640" w:type="dxa"/>
          </w:tcPr>
          <w:p w14:paraId="7B14423E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Стойност на експозицията</w:t>
            </w:r>
          </w:p>
          <w:p w14:paraId="533E4F5D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Същото определение като за колона 0110 от образец CR IRB.</w:t>
            </w:r>
          </w:p>
        </w:tc>
      </w:tr>
      <w:tr w:rsidR="009D6580" w:rsidRPr="002A677E" w14:paraId="48402149" w14:textId="77777777" w:rsidTr="00822842">
        <w:tc>
          <w:tcPr>
            <w:tcW w:w="1188" w:type="dxa"/>
          </w:tcPr>
          <w:p w14:paraId="3E4D7142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640" w:type="dxa"/>
          </w:tcPr>
          <w:p w14:paraId="3BFEC9EB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РИСКОВО ПРЕТЕГЛЕН РАЗМЕР НА ЕКСПОЗИЦИЯТА ПРЕДИ ПРИЛАГАНЕ НА КОЕФИЦИЕНТИ ЗА ПОДПОМАГАНЕ</w:t>
            </w:r>
          </w:p>
          <w:p w14:paraId="38950726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Същото определение като за колона 0255 от образец CR IRB.</w:t>
            </w:r>
          </w:p>
        </w:tc>
      </w:tr>
      <w:tr w:rsidR="009D6580" w:rsidRPr="002A677E" w14:paraId="321AA4CE" w14:textId="77777777" w:rsidTr="00822842">
        <w:tc>
          <w:tcPr>
            <w:tcW w:w="1188" w:type="dxa"/>
          </w:tcPr>
          <w:p w14:paraId="5F49B73F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640" w:type="dxa"/>
          </w:tcPr>
          <w:p w14:paraId="2A07E1E7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в т.ч. в неизпълнение</w:t>
            </w:r>
          </w:p>
          <w:p w14:paraId="0B72119F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Размерът на рисково претеглената експозиция за онези експозиции, които са класифицирани като „експозиции в неизпълнение“ в съответствие с член 178, параграф 1 от Регламент (ЕС) № 575/2013.</w:t>
            </w:r>
          </w:p>
        </w:tc>
      </w:tr>
      <w:tr w:rsidR="009D6580" w:rsidRPr="002A677E" w14:paraId="4F58B17C" w14:textId="77777777" w:rsidTr="00822842">
        <w:tc>
          <w:tcPr>
            <w:tcW w:w="1188" w:type="dxa"/>
          </w:tcPr>
          <w:p w14:paraId="43313479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0121</w:t>
            </w:r>
          </w:p>
        </w:tc>
        <w:tc>
          <w:tcPr>
            <w:tcW w:w="8640" w:type="dxa"/>
          </w:tcPr>
          <w:p w14:paraId="51B6E44A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(-) КОРИГИРАНЕ НА РИСКОВО ПРЕТЕГЛЕНИЯ РАЗМЕР НА ЕКСПОЗИЦИИТЕ ПОРАДИ КОЕФИЦИЕНТА ЗА ПОДПОМАГАНЕ НА МСП</w:t>
            </w:r>
          </w:p>
          <w:p w14:paraId="7060DF05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Същото определение като за колона 0256 от образец CR IRB.</w:t>
            </w:r>
          </w:p>
        </w:tc>
      </w:tr>
      <w:tr w:rsidR="009D6580" w:rsidRPr="002A677E" w14:paraId="6DA9FCB6" w14:textId="77777777" w:rsidTr="00822842">
        <w:tc>
          <w:tcPr>
            <w:tcW w:w="1188" w:type="dxa"/>
          </w:tcPr>
          <w:p w14:paraId="189DC6D4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0122</w:t>
            </w:r>
          </w:p>
        </w:tc>
        <w:tc>
          <w:tcPr>
            <w:tcW w:w="8640" w:type="dxa"/>
          </w:tcPr>
          <w:p w14:paraId="77E17241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(-) КОРИГИРАНЕ НА РИСКОВО ПРЕТЕГЛЕНИЯ РАЗМЕР НА ЕКСПОЗИЦИИТЕ ПОРАДИ КОЕФИЦИЕНТА ЗА ПОДПОМАГАНЕ НА ФИНАНСИРАНЕТО НА ИНФРАСТРУКТУРА</w:t>
            </w:r>
          </w:p>
          <w:p w14:paraId="1EE90D25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Същото определение като за колона 0257 от образец CR IRB.</w:t>
            </w:r>
          </w:p>
        </w:tc>
      </w:tr>
      <w:tr w:rsidR="009D6580" w:rsidRPr="002A677E" w14:paraId="0A79EDF4" w14:textId="77777777" w:rsidTr="00822842">
        <w:tc>
          <w:tcPr>
            <w:tcW w:w="1188" w:type="dxa"/>
          </w:tcPr>
          <w:p w14:paraId="2D50BBC4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0125</w:t>
            </w:r>
          </w:p>
        </w:tc>
        <w:tc>
          <w:tcPr>
            <w:tcW w:w="8640" w:type="dxa"/>
          </w:tcPr>
          <w:p w14:paraId="0D402C8B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РИСКОВО ПРЕТЕГЛЕН РАЗМЕР НА ЕКСПОЗИЦИИТЕ СЛЕД ПРИЛАГАНЕ НА КОЕФИЦИЕНТИ ЗА ПОДПОМАГАНЕ</w:t>
            </w:r>
          </w:p>
          <w:p w14:paraId="71F977E8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Същото определение като за колона 0260 от образец CR IRB.</w:t>
            </w:r>
          </w:p>
        </w:tc>
      </w:tr>
      <w:tr w:rsidR="009D6580" w:rsidRPr="002A677E" w14:paraId="058051CC" w14:textId="77777777" w:rsidTr="00822842">
        <w:tc>
          <w:tcPr>
            <w:tcW w:w="1188" w:type="dxa"/>
          </w:tcPr>
          <w:p w14:paraId="02AA680F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640" w:type="dxa"/>
          </w:tcPr>
          <w:p w14:paraId="5E66C6B0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РАЗМЕР НА ОЧАКВАНАТА ЗАГУБА</w:t>
            </w:r>
          </w:p>
          <w:p w14:paraId="27E13378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Същото определение като за колона 0280 от образец CR IRB.</w:t>
            </w:r>
          </w:p>
        </w:tc>
      </w:tr>
    </w:tbl>
    <w:p w14:paraId="26CEB25D" w14:textId="77777777" w:rsidR="009D6580" w:rsidRPr="002A677E" w:rsidRDefault="009D6580" w:rsidP="009D6580">
      <w:pPr>
        <w:rPr>
          <w:rFonts w:ascii="Times New Roman" w:hAnsi="Times New Roman"/>
          <w:sz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2A677E" w14:paraId="4378F7EC" w14:textId="77777777" w:rsidTr="00822842">
        <w:tc>
          <w:tcPr>
            <w:tcW w:w="1188" w:type="dxa"/>
            <w:shd w:val="clear" w:color="auto" w:fill="CCCCCC"/>
          </w:tcPr>
          <w:p w14:paraId="629D568D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Редове</w:t>
            </w:r>
          </w:p>
        </w:tc>
        <w:tc>
          <w:tcPr>
            <w:tcW w:w="8640" w:type="dxa"/>
            <w:shd w:val="clear" w:color="auto" w:fill="CCCCCC"/>
          </w:tcPr>
          <w:p w14:paraId="490E44FA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41D216F1" w14:textId="77777777" w:rsidTr="00822842">
        <w:tc>
          <w:tcPr>
            <w:tcW w:w="1188" w:type="dxa"/>
          </w:tcPr>
          <w:p w14:paraId="12CBEF0E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349EA927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Централни банки и централни правителства </w:t>
            </w:r>
          </w:p>
          <w:p w14:paraId="45CC186E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147, параграф 2, буква а) от Регламент (ЕС) № 575/2013</w:t>
            </w:r>
          </w:p>
        </w:tc>
      </w:tr>
      <w:tr w:rsidR="009D6580" w:rsidRPr="002A677E" w14:paraId="6125B13A" w14:textId="77777777" w:rsidTr="00822842">
        <w:tc>
          <w:tcPr>
            <w:tcW w:w="1188" w:type="dxa"/>
            <w:shd w:val="clear" w:color="auto" w:fill="auto"/>
          </w:tcPr>
          <w:p w14:paraId="33C6F35E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327D" w14:textId="77777777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В т.ч.: Регионални правителства или местни органи на властта</w:t>
            </w:r>
          </w:p>
          <w:p w14:paraId="4864E157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Член 147, параграф 3а от Регламент (ЕС) № 575/2013</w:t>
            </w:r>
          </w:p>
        </w:tc>
      </w:tr>
      <w:tr w:rsidR="009D6580" w:rsidRPr="002A677E" w14:paraId="57997C4B" w14:textId="77777777" w:rsidTr="00822842">
        <w:tc>
          <w:tcPr>
            <w:tcW w:w="1188" w:type="dxa"/>
            <w:shd w:val="clear" w:color="auto" w:fill="auto"/>
          </w:tcPr>
          <w:p w14:paraId="7E0CEA1D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0012</w:t>
            </w: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57E4" w14:textId="77777777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Регионални правителства или местни органи на властта</w:t>
            </w:r>
          </w:p>
          <w:p w14:paraId="19FE9B53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Член 147, параграф 2, буква а1), подточка i) от Регламент (ЕС) № 575/2013</w:t>
            </w:r>
          </w:p>
        </w:tc>
      </w:tr>
      <w:tr w:rsidR="009D6580" w:rsidRPr="002A677E" w14:paraId="756631BD" w14:textId="77777777" w:rsidTr="00822842">
        <w:tc>
          <w:tcPr>
            <w:tcW w:w="1188" w:type="dxa"/>
            <w:shd w:val="clear" w:color="auto" w:fill="auto"/>
          </w:tcPr>
          <w:p w14:paraId="36422B7A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0013</w:t>
            </w: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C62E" w14:textId="77777777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Субекти от публичния сектор </w:t>
            </w:r>
          </w:p>
          <w:p w14:paraId="1DE1AAE7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Член 147, параграф 2, буква а1), подточка ii) от Регламент (ЕС) № 575/2013</w:t>
            </w:r>
          </w:p>
        </w:tc>
      </w:tr>
      <w:tr w:rsidR="009D6580" w:rsidRPr="002A677E" w14:paraId="0C55C95D" w14:textId="77777777" w:rsidTr="00822842">
        <w:tc>
          <w:tcPr>
            <w:tcW w:w="1188" w:type="dxa"/>
          </w:tcPr>
          <w:p w14:paraId="6C8F06FC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640" w:type="dxa"/>
          </w:tcPr>
          <w:p w14:paraId="460BDDF8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Институции</w:t>
            </w:r>
          </w:p>
          <w:p w14:paraId="504F46A3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147, параграф 2, буква б) от Регламент (ЕС) № 575/2013</w:t>
            </w:r>
          </w:p>
        </w:tc>
      </w:tr>
      <w:tr w:rsidR="009D6580" w:rsidRPr="002A677E" w14:paraId="2B29BE20" w14:textId="77777777" w:rsidTr="00822842">
        <w:tc>
          <w:tcPr>
            <w:tcW w:w="1188" w:type="dxa"/>
          </w:tcPr>
          <w:p w14:paraId="521AA8B6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640" w:type="dxa"/>
          </w:tcPr>
          <w:p w14:paraId="63C7233C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Предприятия </w:t>
            </w:r>
          </w:p>
          <w:p w14:paraId="699F9BD2" w14:textId="77777777" w:rsidR="009D6580" w:rsidRPr="002A677E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Всички експозиции към предприятия по член 147, параграф 2, буква в) от Регламент (ЕС) № 575/2013</w:t>
            </w:r>
          </w:p>
        </w:tc>
      </w:tr>
      <w:tr w:rsidR="009D6580" w:rsidRPr="002A677E" w14:paraId="55C3FE5A" w14:textId="77777777" w:rsidTr="00822842">
        <w:tc>
          <w:tcPr>
            <w:tcW w:w="1188" w:type="dxa"/>
          </w:tcPr>
          <w:p w14:paraId="198D8F58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640" w:type="dxa"/>
          </w:tcPr>
          <w:p w14:paraId="66C0F4F0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В т.ч.: МСП</w:t>
            </w:r>
          </w:p>
          <w:p w14:paraId="13819074" w14:textId="77777777" w:rsidR="009D6580" w:rsidRPr="002A677E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147, параграф 2, буква в) от Регламент (ЕС) № 575/2013</w:t>
            </w:r>
          </w:p>
          <w:p w14:paraId="6C8F6FE1" w14:textId="408BCC75" w:rsidR="009D6580" w:rsidRPr="002A677E" w:rsidRDefault="009D6580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класифицирането към този подклас експозиции докладващите субекти използват определението за МСП в член 5, параграф 8 от Регламент (ЕС) № 575/2013. </w:t>
            </w:r>
          </w:p>
        </w:tc>
      </w:tr>
      <w:tr w:rsidR="00B56773" w:rsidRPr="00E47484" w14:paraId="1AB097A1" w14:textId="77777777" w:rsidTr="00B5677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168F" w14:textId="1A066C7F" w:rsidR="00B56773" w:rsidRPr="002A677E" w:rsidRDefault="00B56773" w:rsidP="007400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C6303" w14:textId="77777777" w:rsidR="00B56773" w:rsidRDefault="00B5677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В т.ч.: Големи предприятия</w:t>
            </w:r>
          </w:p>
          <w:p w14:paraId="503F359E" w14:textId="77777777" w:rsidR="00B56773" w:rsidRPr="00B56773" w:rsidRDefault="00B56773" w:rsidP="00B56773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147, параграф 2, буква в) от Регламент (ЕС) № 575/2013.</w:t>
            </w:r>
          </w:p>
          <w:p w14:paraId="23F8CBD6" w14:textId="77777777" w:rsidR="00B56773" w:rsidRPr="00E47484" w:rsidRDefault="00B5677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За класифицирането към този подклас експозиции докладващите субекти използват определението за големи предприятия в член 142, параграф 1, точка 5а от Регламент (ЕС) № 575/2013.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</w:tc>
      </w:tr>
      <w:tr w:rsidR="00B56773" w:rsidRPr="00E47484" w:rsidDel="000306F2" w14:paraId="58CAAB1D" w14:textId="77777777" w:rsidTr="00B5677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F72A" w14:textId="4457DEBC" w:rsidR="00B56773" w:rsidRPr="002A677E" w:rsidDel="000306F2" w:rsidRDefault="00B56773" w:rsidP="007400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C653" w14:textId="0225B19B" w:rsidR="00B56773" w:rsidRDefault="00B5677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Специализирано кредитиране</w:t>
            </w:r>
          </w:p>
          <w:p w14:paraId="510C1D3E" w14:textId="683EFC86" w:rsidR="00B56773" w:rsidRPr="00B56773" w:rsidDel="000306F2" w:rsidRDefault="00B56773" w:rsidP="007400C4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147, параграф 2, буква в), подточка ii) от Регламент (ЕС) № 575/2013. 1.</w:t>
            </w:r>
          </w:p>
        </w:tc>
      </w:tr>
      <w:tr w:rsidR="00B56773" w:rsidRPr="00E47484" w14:paraId="36179D5A" w14:textId="77777777" w:rsidTr="00822842">
        <w:tc>
          <w:tcPr>
            <w:tcW w:w="1188" w:type="dxa"/>
            <w:shd w:val="clear" w:color="auto" w:fill="auto"/>
          </w:tcPr>
          <w:p w14:paraId="7AF18366" w14:textId="6A1B1DDE" w:rsidR="00B56773" w:rsidRPr="72FDE0D4" w:rsidRDefault="00B56773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0053-0056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F836" w14:textId="6CF7767D" w:rsidR="00B56773" w:rsidRPr="00021099" w:rsidRDefault="00B56773" w:rsidP="00B56773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Специализирано кредитиране — видове експозиции по специализирано кредитиране</w:t>
            </w:r>
          </w:p>
          <w:p w14:paraId="1E4AC942" w14:textId="49F536D6" w:rsidR="00B56773" w:rsidRPr="00F16E4D" w:rsidRDefault="00B56773" w:rsidP="00822842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Институциите докладват видовете експозиции по специализирано кредитиране, посочени в член 147, параграф 8, втора алинея, в съответния ред: „специализирано кредитиране“, „финансиране на проекти“, „финансиране на обекти“, „финансиране на стоки“ и „доходоносни недвижими имоти“ (ДНИ).</w:t>
            </w:r>
          </w:p>
        </w:tc>
      </w:tr>
      <w:tr w:rsidR="009D6580" w:rsidRPr="00E47484" w14:paraId="1E272EAA" w14:textId="77777777" w:rsidTr="00822842">
        <w:tc>
          <w:tcPr>
            <w:tcW w:w="1188" w:type="dxa"/>
            <w:shd w:val="clear" w:color="auto" w:fill="auto"/>
          </w:tcPr>
          <w:p w14:paraId="5B01A706" w14:textId="2033B95F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0057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7355" w14:textId="38752705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Закупени вземания</w:t>
            </w:r>
          </w:p>
          <w:p w14:paraId="40628222" w14:textId="77777777" w:rsidR="009D6580" w:rsidRPr="00E47484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Член 147, параграф 2, буква в), подточка iii) от Регламент (ЕС) № 575/2013</w:t>
            </w:r>
          </w:p>
        </w:tc>
      </w:tr>
      <w:tr w:rsidR="00F16E4D" w:rsidRPr="002A677E" w14:paraId="27B47EEA" w14:textId="77777777" w:rsidTr="00822842">
        <w:tc>
          <w:tcPr>
            <w:tcW w:w="1188" w:type="dxa"/>
          </w:tcPr>
          <w:p w14:paraId="329ABF25" w14:textId="3906F1E5" w:rsidR="00F16E4D" w:rsidRPr="002A677E" w:rsidRDefault="00F16E4D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0058</w:t>
            </w:r>
          </w:p>
        </w:tc>
        <w:tc>
          <w:tcPr>
            <w:tcW w:w="8640" w:type="dxa"/>
          </w:tcPr>
          <w:p w14:paraId="27CFAA09" w14:textId="513D8D7F" w:rsidR="00F16E4D" w:rsidRDefault="00F16E4D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Друго</w:t>
            </w:r>
          </w:p>
          <w:p w14:paraId="75A3CB20" w14:textId="69737D7D" w:rsidR="00F16E4D" w:rsidRPr="002A677E" w:rsidRDefault="00F16E4D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Член 147, параграф 2, точка I, подточка i) от Регламент (ЕС) № 575/2013</w:t>
            </w:r>
          </w:p>
        </w:tc>
      </w:tr>
      <w:tr w:rsidR="009D6580" w:rsidRPr="002A677E" w14:paraId="3CAC5C4A" w14:textId="77777777" w:rsidTr="00822842">
        <w:tc>
          <w:tcPr>
            <w:tcW w:w="1188" w:type="dxa"/>
          </w:tcPr>
          <w:p w14:paraId="50AFEE21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640" w:type="dxa"/>
          </w:tcPr>
          <w:p w14:paraId="084F36E4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На дребно</w:t>
            </w:r>
          </w:p>
          <w:p w14:paraId="61F98691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Всички експозиции на дребно по член 147, параграф 2, буква г) от Регламент (ЕС) № 575/2013</w:t>
            </w:r>
          </w:p>
        </w:tc>
      </w:tr>
      <w:tr w:rsidR="009D6580" w:rsidRPr="002A677E" w14:paraId="3126FC45" w14:textId="77777777" w:rsidTr="00822842">
        <w:tc>
          <w:tcPr>
            <w:tcW w:w="1188" w:type="dxa"/>
          </w:tcPr>
          <w:p w14:paraId="3B5D6723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094A84E8" w14:textId="1D426AD8" w:rsidR="009D6580" w:rsidRPr="002A677E" w:rsidRDefault="005B37F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В т.ч.: Експозиции на дребно — обезпечени с недвижими имоти</w:t>
            </w:r>
          </w:p>
          <w:p w14:paraId="35B1F6E7" w14:textId="4962CAD8" w:rsidR="00FD0F61" w:rsidRDefault="00FD0F61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Експозиции на дребно съгласно определението в член 147, параграф 2, буква г) от Регламент (ЕС) № 575/2013, които са обезпечени с недвижим имот съгласно </w:t>
            </w:r>
            <w:r>
              <w:rPr>
                <w:rFonts w:ascii="Times New Roman" w:hAnsi="Times New Roman"/>
                <w:sz w:val="24"/>
              </w:rPr>
              <w:lastRenderedPageBreak/>
              <w:t>определението в член 4, параграф 1, точка 75е, буква г) от Регламент (ЕС) № 575/2013.</w:t>
            </w:r>
          </w:p>
          <w:p w14:paraId="0CD06107" w14:textId="22291817" w:rsidR="009D6580" w:rsidRPr="002A677E" w:rsidRDefault="00FD0F61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9D6580" w:rsidRPr="002A677E" w14:paraId="49CD7917" w14:textId="77777777" w:rsidTr="00822842">
        <w:tc>
          <w:tcPr>
            <w:tcW w:w="1188" w:type="dxa"/>
          </w:tcPr>
          <w:p w14:paraId="3FA8BBC8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0080</w:t>
            </w:r>
          </w:p>
        </w:tc>
        <w:tc>
          <w:tcPr>
            <w:tcW w:w="8640" w:type="dxa"/>
          </w:tcPr>
          <w:p w14:paraId="4738C3E5" w14:textId="186F9DD4" w:rsidR="009D6580" w:rsidRPr="002A677E" w:rsidRDefault="00FD0F61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В т.ч.: МСП</w:t>
            </w:r>
          </w:p>
          <w:p w14:paraId="67BFF2AB" w14:textId="02FB7D89" w:rsidR="009D6580" w:rsidRPr="002A677E" w:rsidRDefault="00FD0F61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Експозиции на дребно съгласно определението в член 147, параграф 2, буква г) от Регламент (ЕС) № 575/2013, докладвани в Б.6.1 — Б.6.4, които са обезпечени с недвижим имот съгласно определението в член 4, параграф 1, точка 75е, буква г) от Регламент (ЕС) № 575/2013, във връзка с член 5, параграф 8 от Регламент (ЕС) № 575/2013. </w:t>
            </w:r>
          </w:p>
        </w:tc>
      </w:tr>
      <w:tr w:rsidR="009D6580" w:rsidRPr="00E47484" w14:paraId="7A63D877" w14:textId="77777777" w:rsidTr="00822842">
        <w:tc>
          <w:tcPr>
            <w:tcW w:w="1188" w:type="dxa"/>
            <w:shd w:val="clear" w:color="auto" w:fill="auto"/>
          </w:tcPr>
          <w:p w14:paraId="59E6C6E6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640" w:type="dxa"/>
            <w:shd w:val="clear" w:color="auto" w:fill="auto"/>
          </w:tcPr>
          <w:p w14:paraId="05695520" w14:textId="39C15E5F" w:rsidR="009D6580" w:rsidRPr="00E47484" w:rsidRDefault="00837F9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В т.ч.: различни от МСП</w:t>
            </w:r>
          </w:p>
          <w:p w14:paraId="68647661" w14:textId="272EAD03" w:rsidR="00837F98" w:rsidRDefault="00837F98" w:rsidP="00234FB5">
            <w:pPr>
              <w:pStyle w:val="ListParagraph"/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Експозиции на дребно съгласно определението в член 147, параграф 2, буква г) от Регламент (ЕС) № 575/2013, докладвани в Б.6.1 — Б.6.4, които са обезпечени с недвижим имот съгласно определението в член 4, параграф 1, точка 75е, буква г) от Регламент (ЕС) № 575/2013, не във връзка с член 5, параграф 8 от Регламент (ЕС) № 575/2013.</w:t>
            </w:r>
          </w:p>
          <w:p w14:paraId="34F371DC" w14:textId="683F21EB" w:rsidR="009D6580" w:rsidRPr="00D10012" w:rsidRDefault="009D6580" w:rsidP="00822842">
            <w:pPr>
              <w:pStyle w:val="ListParagraph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910F63" w:rsidRPr="002A677E" w14:paraId="22110EE2" w14:textId="77777777" w:rsidTr="00910F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663B" w14:textId="49B20CE1" w:rsidR="00910F63" w:rsidRPr="002A677E" w:rsidRDefault="00910F63" w:rsidP="007400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0095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0C7BD" w14:textId="435F8765" w:rsidR="00910F63" w:rsidRPr="002A677E" w:rsidRDefault="00910F6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Обезпечени с жилищни недвижими имоти</w:t>
            </w:r>
          </w:p>
          <w:p w14:paraId="3B8B837D" w14:textId="77777777" w:rsidR="00910F63" w:rsidRPr="00910F63" w:rsidRDefault="00910F63" w:rsidP="00910F63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Експозициите на дребно по член 147, параграф 2, буква г), подточка ii) от Регламент (ЕС) № 575/2013.</w:t>
            </w:r>
          </w:p>
          <w:p w14:paraId="7240267A" w14:textId="77777777" w:rsidR="00910F63" w:rsidRPr="002A677E" w:rsidRDefault="00910F6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За експозиции на дребно, обезпечени с жилищни недвижими имоти, се считат всички експозиции на дребно, обезпечени с жилищен недвижим имот, признат за обезпечение, независимо от отношението между стойността на обезпечението и експозицията или целта на заема.</w:t>
            </w:r>
          </w:p>
        </w:tc>
      </w:tr>
      <w:tr w:rsidR="009D6580" w:rsidRPr="002A677E" w14:paraId="38AD5BBA" w14:textId="77777777" w:rsidTr="00822842">
        <w:tc>
          <w:tcPr>
            <w:tcW w:w="1188" w:type="dxa"/>
          </w:tcPr>
          <w:p w14:paraId="48A5C8D2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640" w:type="dxa"/>
          </w:tcPr>
          <w:p w14:paraId="1B160106" w14:textId="7C65E11F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Квалифицирани револвиращи</w:t>
            </w:r>
          </w:p>
          <w:p w14:paraId="363209C3" w14:textId="77777777" w:rsidR="009D6580" w:rsidRPr="002A677E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Експозиции на дребно по член 147, параграф 2, буква г), подточка i) във връзка с член 154, параграф 4 от Регламент (ЕС) № 575/2013</w:t>
            </w:r>
          </w:p>
        </w:tc>
      </w:tr>
      <w:tr w:rsidR="009D6580" w:rsidRPr="002A677E" w14:paraId="26D0338D" w14:textId="77777777" w:rsidTr="00822842">
        <w:tc>
          <w:tcPr>
            <w:tcW w:w="1188" w:type="dxa"/>
          </w:tcPr>
          <w:p w14:paraId="6DA4B8E6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0105</w:t>
            </w:r>
          </w:p>
        </w:tc>
        <w:tc>
          <w:tcPr>
            <w:tcW w:w="8640" w:type="dxa"/>
          </w:tcPr>
          <w:p w14:paraId="63563096" w14:textId="485ECEE6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Закупени вземания</w:t>
            </w:r>
          </w:p>
          <w:p w14:paraId="7C92CD05" w14:textId="77777777" w:rsidR="009D6580" w:rsidRPr="00B7761D" w:rsidRDefault="009D6580" w:rsidP="00822842">
            <w:pPr>
              <w:rPr>
                <w:rFonts w:cs="Calibri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</w:rPr>
              <w:t>Експозициите на дребно по член 147, параграф 2, буква г), подточка iii) от Регламент (ЕС) № 575/2013</w:t>
            </w:r>
          </w:p>
        </w:tc>
      </w:tr>
      <w:tr w:rsidR="009D6580" w:rsidRPr="002A677E" w14:paraId="551F153F" w14:textId="77777777" w:rsidTr="00822842">
        <w:tc>
          <w:tcPr>
            <w:tcW w:w="1188" w:type="dxa"/>
          </w:tcPr>
          <w:p w14:paraId="1C56701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640" w:type="dxa"/>
          </w:tcPr>
          <w:p w14:paraId="3B169086" w14:textId="5BA51B78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Други експозиции на дребно</w:t>
            </w:r>
          </w:p>
          <w:p w14:paraId="6BB335AD" w14:textId="5184DC86" w:rsidR="009D6580" w:rsidRPr="002A677E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 експозиции на дребно по член 147, параграф 2, буква г), подточка iv) от Регламент (ЕС) № 575/2013.</w:t>
            </w:r>
          </w:p>
        </w:tc>
      </w:tr>
      <w:tr w:rsidR="009D6580" w:rsidRPr="002A677E" w14:paraId="1879AB2D" w14:textId="77777777" w:rsidTr="00822842">
        <w:tc>
          <w:tcPr>
            <w:tcW w:w="1188" w:type="dxa"/>
          </w:tcPr>
          <w:p w14:paraId="247F0534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640" w:type="dxa"/>
          </w:tcPr>
          <w:p w14:paraId="37F76446" w14:textId="0C2F5C96" w:rsidR="009D6580" w:rsidRPr="002A677E" w:rsidRDefault="00837F9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В т.ч.: МСП</w:t>
            </w:r>
          </w:p>
          <w:p w14:paraId="28CE96BD" w14:textId="7A3420F8" w:rsidR="009D6580" w:rsidRPr="002A677E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Други експозиции на дребно, посочени в член 147, параграф 2, буква г), подточка iv) от Регламент (ЕС) № 575/2013, във връзка с член 5, параграф 8 от Регламент (ЕС) № 575/2013. </w:t>
            </w:r>
          </w:p>
        </w:tc>
      </w:tr>
      <w:tr w:rsidR="009D6580" w:rsidRPr="002A677E" w14:paraId="6140E6E8" w14:textId="77777777" w:rsidTr="00822842">
        <w:tc>
          <w:tcPr>
            <w:tcW w:w="1188" w:type="dxa"/>
          </w:tcPr>
          <w:p w14:paraId="4DD00789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640" w:type="dxa"/>
          </w:tcPr>
          <w:p w14:paraId="40BDF108" w14:textId="2B96A314" w:rsidR="009D6580" w:rsidRPr="002A677E" w:rsidRDefault="00837F9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В т.ч.: различни от МСП</w:t>
            </w:r>
          </w:p>
          <w:p w14:paraId="51D486B6" w14:textId="251D2008" w:rsidR="009D6580" w:rsidRPr="002A677E" w:rsidRDefault="00837F98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Други експозиции на дребно, посочени в член 147, параграф 2, буква г), подточка iv) от Регламент (ЕС) № 575/2013, не във връзка с член 5, параграф 8 от Регламент (ЕС) № 575/2013.</w:t>
            </w:r>
          </w:p>
        </w:tc>
      </w:tr>
      <w:tr w:rsidR="009D6580" w:rsidRPr="002A677E" w14:paraId="70A29A85" w14:textId="77777777" w:rsidTr="00822842">
        <w:tc>
          <w:tcPr>
            <w:tcW w:w="1188" w:type="dxa"/>
          </w:tcPr>
          <w:p w14:paraId="5C287489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0132</w:t>
            </w:r>
          </w:p>
        </w:tc>
        <w:tc>
          <w:tcPr>
            <w:tcW w:w="8640" w:type="dxa"/>
          </w:tcPr>
          <w:p w14:paraId="170B9280" w14:textId="77777777" w:rsidR="009D6580" w:rsidRPr="002A677E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Предприятия за колективно инвестиране (ПКИ)</w:t>
            </w:r>
          </w:p>
          <w:p w14:paraId="4237C58D" w14:textId="4E266C1C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Член 147, параграф 2, буква д1) от Регламент (ЕС) № 575/2013</w:t>
            </w:r>
          </w:p>
        </w:tc>
      </w:tr>
      <w:tr w:rsidR="009D6580" w:rsidRPr="002A677E" w14:paraId="72EBDFDD" w14:textId="77777777" w:rsidTr="00822842">
        <w:tc>
          <w:tcPr>
            <w:tcW w:w="1188" w:type="dxa"/>
          </w:tcPr>
          <w:p w14:paraId="290EDA8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0133</w:t>
            </w:r>
          </w:p>
        </w:tc>
        <w:tc>
          <w:tcPr>
            <w:tcW w:w="8640" w:type="dxa"/>
          </w:tcPr>
          <w:p w14:paraId="39E22A69" w14:textId="77777777" w:rsidR="009D6580" w:rsidRPr="002A677E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Подход на подробен преглед</w:t>
            </w:r>
          </w:p>
          <w:p w14:paraId="3481CEEB" w14:textId="77777777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Същото определение като за ред 0190 от образец CR IRB.</w:t>
            </w:r>
          </w:p>
        </w:tc>
      </w:tr>
      <w:tr w:rsidR="009D6580" w:rsidRPr="002A677E" w14:paraId="6520599F" w14:textId="77777777" w:rsidTr="00822842">
        <w:tc>
          <w:tcPr>
            <w:tcW w:w="1188" w:type="dxa"/>
          </w:tcPr>
          <w:p w14:paraId="5DF820F6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0134</w:t>
            </w:r>
          </w:p>
        </w:tc>
        <w:tc>
          <w:tcPr>
            <w:tcW w:w="8640" w:type="dxa"/>
          </w:tcPr>
          <w:p w14:paraId="13156AFE" w14:textId="77777777" w:rsidR="009D6580" w:rsidRPr="002A677E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Мандатен подход</w:t>
            </w:r>
          </w:p>
          <w:p w14:paraId="37B63BC9" w14:textId="77777777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Същото определение като за ред 0200 от образец CR IRB.</w:t>
            </w:r>
          </w:p>
        </w:tc>
      </w:tr>
      <w:tr w:rsidR="009D6580" w:rsidRPr="002A677E" w14:paraId="57B2C532" w14:textId="77777777" w:rsidTr="00822842">
        <w:tc>
          <w:tcPr>
            <w:tcW w:w="1188" w:type="dxa"/>
          </w:tcPr>
          <w:p w14:paraId="251B0D2B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0135</w:t>
            </w:r>
          </w:p>
        </w:tc>
        <w:tc>
          <w:tcPr>
            <w:tcW w:w="8640" w:type="dxa"/>
          </w:tcPr>
          <w:p w14:paraId="19D4ED63" w14:textId="77777777" w:rsidR="009D6580" w:rsidRPr="002A677E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Алтернативен подход</w:t>
            </w:r>
          </w:p>
          <w:p w14:paraId="18A39C60" w14:textId="77777777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Същото определение като за ред 0210 от образец CR IRB.</w:t>
            </w:r>
          </w:p>
        </w:tc>
      </w:tr>
      <w:bookmarkEnd w:id="3"/>
      <w:tr w:rsidR="009D6580" w:rsidRPr="002A677E" w14:paraId="0997369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037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4F62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Капиталови инструменти</w:t>
            </w:r>
          </w:p>
          <w:p w14:paraId="1A033F11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Експозиции към капиталови инструменти по член 147, параграф 2, буква д) от Регламент (ЕС) № 575/2013</w:t>
            </w:r>
          </w:p>
        </w:tc>
      </w:tr>
      <w:tr w:rsidR="009D6580" w:rsidRPr="002A677E" w14:paraId="6A23B6CC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CFF1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13EA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Общо експозиции</w:t>
            </w:r>
          </w:p>
        </w:tc>
      </w:tr>
    </w:tbl>
    <w:p w14:paraId="77289230" w14:textId="77777777" w:rsidR="009D6580" w:rsidRPr="002A677E" w:rsidRDefault="009D6580" w:rsidP="009D6580">
      <w:pPr>
        <w:spacing w:before="0" w:after="200" w:line="312" w:lineRule="auto"/>
        <w:jc w:val="left"/>
        <w:rPr>
          <w:rFonts w:ascii="Times New Roman" w:hAnsi="Times New Roman"/>
          <w:sz w:val="24"/>
        </w:rPr>
      </w:pPr>
    </w:p>
    <w:p w14:paraId="6A7D32B9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0" w:name="_Toc360188366"/>
      <w:bookmarkStart w:id="11" w:name="_Toc473560917"/>
      <w:bookmarkStart w:id="12" w:name="_Toc151714421"/>
      <w:r>
        <w:rPr>
          <w:rFonts w:ascii="Times New Roman" w:hAnsi="Times New Roman"/>
          <w:sz w:val="24"/>
          <w:u w:val="none"/>
        </w:rPr>
        <w:t>3.4.3.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 xml:space="preserve">C 09.04 – Разбивка на кредитните експозиции с отношение към изчисляването на антицикличния буфер по държави и на специфичния за институцията антицикличен буфер </w:t>
      </w:r>
      <w:bookmarkEnd w:id="10"/>
      <w:r>
        <w:rPr>
          <w:rFonts w:ascii="Times New Roman" w:hAnsi="Times New Roman"/>
          <w:sz w:val="24"/>
        </w:rPr>
        <w:t>(CCB)</w:t>
      </w:r>
      <w:bookmarkEnd w:id="11"/>
      <w:bookmarkEnd w:id="12"/>
    </w:p>
    <w:p w14:paraId="600FC3A3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3" w:name="_Toc360188367"/>
      <w:bookmarkStart w:id="14" w:name="_Toc473560918"/>
      <w:bookmarkStart w:id="15" w:name="_Toc151714422"/>
      <w:r>
        <w:rPr>
          <w:rFonts w:ascii="Times New Roman" w:hAnsi="Times New Roman"/>
          <w:sz w:val="24"/>
          <w:u w:val="none"/>
        </w:rPr>
        <w:t>3.4.3.1.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Общи бележки</w:t>
      </w:r>
      <w:bookmarkEnd w:id="13"/>
      <w:bookmarkEnd w:id="14"/>
      <w:bookmarkEnd w:id="15"/>
    </w:p>
    <w:p w14:paraId="57D13BA6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88</w:t>
      </w:r>
      <w:r>
        <w:fldChar w:fldCharType="end"/>
      </w:r>
      <w:r>
        <w:t>.</w:t>
      </w:r>
      <w:r>
        <w:tab/>
        <w:t xml:space="preserve">Целта на този образец е да се получи повече информация за елементите на специфичния за институцията антицикличен капиталов буфер. Изискуемата информация касае капиталовите изисквания, определени съгласно трета част, дялове II и IV от Регламент (ЕС) № 575/2013, и географското местоположение за кредитните експозиции, секюритизиращите експозиции и експозициите в търговския портфейл, свързани с изчисляването на специфичния за институцията антицикличен капиталов буфер (АКБ) в съответствие с член 140 от Директива 2013/36/ЕС („съответни кредитни експозиции“). </w:t>
      </w:r>
    </w:p>
    <w:p w14:paraId="10EA3DAD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89</w:t>
      </w:r>
      <w:r>
        <w:fldChar w:fldCharType="end"/>
      </w:r>
      <w:r>
        <w:t>.</w:t>
      </w:r>
      <w:r>
        <w:tab/>
        <w:t xml:space="preserve">Информацията в образец C 09.04 се изисква за общия размер на съответните кредитни експозиции — за всички юрисдикции, където се намират тези експозиции, както и отделно — за всяка юрисдикция, в която се намират съответните кредитни експозиции. Общите стойности, както и информацията за всяка юрисдикция, се докладват като отделна величина. </w:t>
      </w:r>
    </w:p>
    <w:p w14:paraId="054CDEAF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90</w:t>
      </w:r>
      <w:r>
        <w:fldChar w:fldCharType="end"/>
      </w:r>
      <w:r>
        <w:t>.</w:t>
      </w:r>
      <w:r>
        <w:tab/>
        <w:t>Прагът, определен в член 5, параграф 5 от настоящия регламент за изпълнение, не се прилага при докладването на тази разбивка.</w:t>
      </w:r>
    </w:p>
    <w:bookmarkStart w:id="16" w:name="_Hlk151650982"/>
    <w:p w14:paraId="710781F7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lastRenderedPageBreak/>
        <w:fldChar w:fldCharType="begin"/>
      </w:r>
      <w:r>
        <w:instrText>seq paragraphs</w:instrText>
      </w:r>
      <w:r>
        <w:fldChar w:fldCharType="separate"/>
      </w:r>
      <w:r>
        <w:t>91</w:t>
      </w:r>
      <w:r>
        <w:fldChar w:fldCharType="end"/>
      </w:r>
      <w:r>
        <w:t>.</w:t>
      </w:r>
      <w:r>
        <w:tab/>
        <w:t>За да се определи географското местоположение, експозициите се разпределят въз основа на прекия длъжник съгласно предвиденото в Делегиран регламент (ЕС) № 1152/2014 на Комисията</w:t>
      </w:r>
      <w:r w:rsidRPr="002A677E">
        <w:footnoteReference w:id="1"/>
      </w:r>
      <w:r>
        <w:t>. Следователно, за целите на докладването на информацията по настоящия образец, техниките за редуциране на кредитния риск не променят отнасянето на дадена експозиция към нейното географско местоположение.</w:t>
      </w:r>
    </w:p>
    <w:p w14:paraId="4811C8E1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7" w:name="_Toc360188368"/>
      <w:bookmarkStart w:id="18" w:name="_Toc473560919"/>
      <w:bookmarkStart w:id="19" w:name="_Toc151714423"/>
      <w:bookmarkEnd w:id="16"/>
      <w:r>
        <w:rPr>
          <w:rFonts w:ascii="Times New Roman" w:hAnsi="Times New Roman"/>
          <w:sz w:val="24"/>
          <w:u w:val="none"/>
        </w:rPr>
        <w:t>3.4.3.2.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Указания относно конкретни позиции</w:t>
      </w:r>
      <w:bookmarkEnd w:id="17"/>
      <w:bookmarkEnd w:id="18"/>
      <w:bookmarkEnd w:id="1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8131"/>
      </w:tblGrid>
      <w:tr w:rsidR="009D6580" w:rsidRPr="002A677E" w14:paraId="091A9B1D" w14:textId="77777777" w:rsidTr="00822842">
        <w:tc>
          <w:tcPr>
            <w:tcW w:w="1697" w:type="dxa"/>
            <w:shd w:val="clear" w:color="auto" w:fill="CCCCCC"/>
          </w:tcPr>
          <w:p w14:paraId="6D544C28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Колони</w:t>
            </w:r>
          </w:p>
        </w:tc>
        <w:tc>
          <w:tcPr>
            <w:tcW w:w="8131" w:type="dxa"/>
            <w:shd w:val="clear" w:color="auto" w:fill="CCCCCC"/>
          </w:tcPr>
          <w:p w14:paraId="55FA945D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6B14BCBD" w14:textId="77777777" w:rsidTr="00822842">
        <w:tc>
          <w:tcPr>
            <w:tcW w:w="1697" w:type="dxa"/>
          </w:tcPr>
          <w:p w14:paraId="5CBD6D84" w14:textId="77777777" w:rsidR="009D6580" w:rsidRPr="002A677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131" w:type="dxa"/>
          </w:tcPr>
          <w:p w14:paraId="6A1F53D1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Сума</w:t>
            </w:r>
          </w:p>
          <w:p w14:paraId="4EDF6439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Стойността на съответните кредитни експозиции и свързаните с тях капиталови изисквания, определени според инструкциите за съответния ред.</w:t>
            </w:r>
          </w:p>
        </w:tc>
      </w:tr>
      <w:tr w:rsidR="009D6580" w:rsidRPr="002A677E" w14:paraId="29BB3D71" w14:textId="77777777" w:rsidTr="00822842">
        <w:tc>
          <w:tcPr>
            <w:tcW w:w="1697" w:type="dxa"/>
          </w:tcPr>
          <w:p w14:paraId="15999D4B" w14:textId="77777777" w:rsidR="009D6580" w:rsidRPr="002A677E" w:rsidRDefault="009D6580" w:rsidP="00822842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131" w:type="dxa"/>
          </w:tcPr>
          <w:p w14:paraId="4133F8D3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Процент</w:t>
            </w:r>
          </w:p>
          <w:p w14:paraId="01DD816F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9D6580" w:rsidRPr="002A677E" w14:paraId="2A8BD3C1" w14:textId="77777777" w:rsidTr="00822842">
        <w:tc>
          <w:tcPr>
            <w:tcW w:w="1697" w:type="dxa"/>
          </w:tcPr>
          <w:p w14:paraId="0F30E1C9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131" w:type="dxa"/>
          </w:tcPr>
          <w:p w14:paraId="61529C4E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Качествена информация</w:t>
            </w:r>
          </w:p>
          <w:p w14:paraId="394356B2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Тази информация се съобщава само за държавата на местопребиваване на институцията (юрисдикцията, която е нейната държава членка по произход) и „общо“ за всички държави. </w:t>
            </w:r>
          </w:p>
          <w:p w14:paraId="6761B5E4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Институциите посочват {y} или {n} — според инструкциите за съответния ред.</w:t>
            </w:r>
          </w:p>
        </w:tc>
      </w:tr>
    </w:tbl>
    <w:p w14:paraId="51476A7B" w14:textId="77777777" w:rsidR="009D6580" w:rsidRPr="002A677E" w:rsidRDefault="009D6580" w:rsidP="009D6580">
      <w:pPr>
        <w:pStyle w:val="InstructionsText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8131"/>
      </w:tblGrid>
      <w:tr w:rsidR="009D6580" w:rsidRPr="002A677E" w14:paraId="09F6A5AE" w14:textId="77777777" w:rsidTr="00822842">
        <w:tc>
          <w:tcPr>
            <w:tcW w:w="1697" w:type="dxa"/>
            <w:shd w:val="clear" w:color="auto" w:fill="CCCCCC"/>
          </w:tcPr>
          <w:p w14:paraId="3BCCC295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Редове</w:t>
            </w:r>
          </w:p>
        </w:tc>
        <w:tc>
          <w:tcPr>
            <w:tcW w:w="8131" w:type="dxa"/>
            <w:shd w:val="clear" w:color="auto" w:fill="CCCCCC"/>
          </w:tcPr>
          <w:p w14:paraId="39519610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70661EF5" w14:textId="77777777" w:rsidTr="00822842">
        <w:tc>
          <w:tcPr>
            <w:tcW w:w="1697" w:type="dxa"/>
          </w:tcPr>
          <w:p w14:paraId="563EAAB9" w14:textId="77777777" w:rsidR="009D6580" w:rsidRPr="002A677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0010-0020</w:t>
            </w:r>
          </w:p>
        </w:tc>
        <w:tc>
          <w:tcPr>
            <w:tcW w:w="8131" w:type="dxa"/>
          </w:tcPr>
          <w:p w14:paraId="3D2862FC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Съответни кредитни експозиции — кредитен риск</w:t>
            </w:r>
          </w:p>
          <w:p w14:paraId="516A26FA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Съответните кредитни експозиции, посочени в член 140, параграф 4, буква а) от Директива 2013/36/ЕС.</w:t>
            </w:r>
          </w:p>
        </w:tc>
      </w:tr>
      <w:tr w:rsidR="009D6580" w:rsidRPr="002A677E" w14:paraId="527A1F7E" w14:textId="77777777" w:rsidTr="00822842">
        <w:tc>
          <w:tcPr>
            <w:tcW w:w="1697" w:type="dxa"/>
          </w:tcPr>
          <w:p w14:paraId="18BE8A8D" w14:textId="77777777" w:rsidR="009D6580" w:rsidRPr="002A677E" w:rsidRDefault="009D6580" w:rsidP="00822842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131" w:type="dxa"/>
          </w:tcPr>
          <w:p w14:paraId="60D60C47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Стойност на експозицията по стандартизирания подход</w:t>
            </w:r>
          </w:p>
          <w:p w14:paraId="0EA1DD75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Стойност на експозицията, изчислена в съответствие с член 111 от Регламент (ЕС) № 575/2013 за съответните кредитни експозиции, посочени в член 140, параграф 4, буква а) от Директива 2013/36/ЕС. </w:t>
            </w:r>
          </w:p>
          <w:p w14:paraId="72B986ED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Стойността на експозицията на секюритизиращите позиции в банковия портфейл се изключва от този ред и се докладва в ред 0055.</w:t>
            </w:r>
          </w:p>
        </w:tc>
      </w:tr>
      <w:tr w:rsidR="009D6580" w:rsidRPr="002A677E" w14:paraId="367F78C6" w14:textId="77777777" w:rsidTr="00822842">
        <w:tc>
          <w:tcPr>
            <w:tcW w:w="1697" w:type="dxa"/>
          </w:tcPr>
          <w:p w14:paraId="3217061B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131" w:type="dxa"/>
          </w:tcPr>
          <w:p w14:paraId="385211C6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Стойност на експозицията по вътрешнорейтинговия подход</w:t>
            </w:r>
          </w:p>
          <w:p w14:paraId="3F80BC36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Стойност на експозицията, изчислена в съответствие с член 166 от Регламент (ЕС) № 575/2013 за съответните кредитни експозиции, посочени в член 140, параграф 4, буква а) от Директива 2013/36/ЕС. </w:t>
            </w:r>
          </w:p>
          <w:p w14:paraId="48C130F1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Стойността на експозицията на секюритизиращите позиции в банковия портфейл се изключва от този ред и се докладва в ред 0055.</w:t>
            </w:r>
          </w:p>
        </w:tc>
      </w:tr>
      <w:tr w:rsidR="009D6580" w:rsidRPr="002A677E" w14:paraId="613420F2" w14:textId="77777777" w:rsidTr="00822842">
        <w:tc>
          <w:tcPr>
            <w:tcW w:w="1697" w:type="dxa"/>
          </w:tcPr>
          <w:p w14:paraId="53491AFF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0030-0040</w:t>
            </w:r>
          </w:p>
        </w:tc>
        <w:tc>
          <w:tcPr>
            <w:tcW w:w="8131" w:type="dxa"/>
          </w:tcPr>
          <w:p w14:paraId="369D8506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Съответни кредитни експозиции — Пазарен риск</w:t>
            </w:r>
          </w:p>
          <w:p w14:paraId="54050F98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Съответните кредитни експозиции, посочени в член 140, параграф 4, буква б) от Директива 2013/36/ЕС.</w:t>
            </w:r>
          </w:p>
        </w:tc>
      </w:tr>
      <w:tr w:rsidR="009D6580" w:rsidRPr="002A677E" w14:paraId="670769C5" w14:textId="77777777" w:rsidTr="00822842">
        <w:tc>
          <w:tcPr>
            <w:tcW w:w="1697" w:type="dxa"/>
          </w:tcPr>
          <w:p w14:paraId="27E0BEE1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131" w:type="dxa"/>
          </w:tcPr>
          <w:p w14:paraId="740784D8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Сбор на дългите и късите позиции на експозициите в търговския портфейл  при използването на стандартизираните подходи</w:t>
            </w:r>
          </w:p>
          <w:p w14:paraId="5F803AC4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Сборът на нетните дълги и нетните къси позиции в съответствие с член 327 от Регламент (ЕС) № 575/2013 на съответните кредитни експозиции, посочени в член 140, параграф 4, буква б) от Директива 2013/36/ЕС, за които се прилагат капиталовите изисквания съгласно трета част, дял IV, глава 2 от Регламент (ЕС) № 575/2013: </w:t>
            </w:r>
          </w:p>
          <w:p w14:paraId="555B6B69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ab/>
              <w:t>експозиции към дългови инструменти, различни от секюритизация;</w:t>
            </w:r>
          </w:p>
          <w:p w14:paraId="2F347ECD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ab/>
              <w:t>експозиции към секюритизиращи позиции в търговския портфейл;</w:t>
            </w:r>
          </w:p>
          <w:p w14:paraId="0BF14848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ab/>
              <w:t>експозиции към портфейлите за корелационно търгуване;</w:t>
            </w:r>
          </w:p>
          <w:p w14:paraId="426EA269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ab/>
              <w:t>експозиции към капиталови ценни книжа,</w:t>
            </w:r>
          </w:p>
          <w:p w14:paraId="29596F16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ab/>
              <w:t>експозиции към ПКИ, когато капиталовите изисквания са изчислени в съответствие с член 348 от Регламент (ЕС) № 575/2013.</w:t>
            </w:r>
          </w:p>
        </w:tc>
      </w:tr>
      <w:tr w:rsidR="009D6580" w:rsidRPr="002A677E" w14:paraId="1B5F6FE5" w14:textId="77777777" w:rsidTr="00822842">
        <w:tc>
          <w:tcPr>
            <w:tcW w:w="1697" w:type="dxa"/>
          </w:tcPr>
          <w:p w14:paraId="22718F0C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131" w:type="dxa"/>
          </w:tcPr>
          <w:p w14:paraId="79898916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Стойност на експозициите в търговския портфейл при използването на вътрешни модели</w:t>
            </w:r>
          </w:p>
          <w:p w14:paraId="2C5D0701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съответните кредитни експозиции, посочени в член 140, параграф 4, буква б) от Директива 2013/36/ЕС, за които се прилагат капиталовите изисквания съгласно трета част, дял IV, глави 2 и 5 от Регламент (ЕС) № 575/2013, се докладва сборът на следните елементи:</w:t>
            </w:r>
          </w:p>
          <w:p w14:paraId="07E28E81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справедливата стойност на позициите в инструменти, различни от деривати, които позиции представляват съответните кредитни експозиции, посочени в член 140, параграф 4, буква б) от Директива 2013/36/ЕС, определени в съответствие с член 104 от Регламент (ЕС) № 575/2013.</w:t>
            </w:r>
          </w:p>
          <w:p w14:paraId="198195E0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условната стойност на дериватите, които представляват съответните кредитни експозиции, посочени в член 140, параграф 4, буква б) от Директива 2013/36/ЕС.</w:t>
            </w:r>
          </w:p>
        </w:tc>
      </w:tr>
      <w:tr w:rsidR="009D6580" w:rsidRPr="002A677E" w14:paraId="6BA1E71E" w14:textId="77777777" w:rsidTr="00822842">
        <w:tc>
          <w:tcPr>
            <w:tcW w:w="1697" w:type="dxa"/>
          </w:tcPr>
          <w:p w14:paraId="37545C8A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0055</w:t>
            </w:r>
          </w:p>
        </w:tc>
        <w:tc>
          <w:tcPr>
            <w:tcW w:w="8131" w:type="dxa"/>
          </w:tcPr>
          <w:p w14:paraId="3A6EE463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Съответни кредитни експозиции — секюритизиращи позиции в банковия портфейл</w:t>
            </w:r>
          </w:p>
          <w:p w14:paraId="4B3C840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Стойност на експозицията, изчислена в съответствие с член 248 от Регламент (ЕС) № 575/2013 за съответните кредитни експозиции, посочени в член 140, параграф 4, буква в) от Директива 2013/36/ЕС.</w:t>
            </w:r>
          </w:p>
        </w:tc>
      </w:tr>
      <w:tr w:rsidR="009D6580" w:rsidRPr="002A677E" w14:paraId="2A6651FC" w14:textId="77777777" w:rsidTr="00822842">
        <w:tc>
          <w:tcPr>
            <w:tcW w:w="1697" w:type="dxa"/>
          </w:tcPr>
          <w:p w14:paraId="3D2C5D4A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0070-0110</w:t>
            </w:r>
          </w:p>
        </w:tc>
        <w:tc>
          <w:tcPr>
            <w:tcW w:w="8131" w:type="dxa"/>
          </w:tcPr>
          <w:p w14:paraId="6A03AF3B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Капиталови изисквания и тегла</w:t>
            </w:r>
          </w:p>
        </w:tc>
      </w:tr>
      <w:tr w:rsidR="009D6580" w:rsidRPr="002A677E" w14:paraId="5C042A5F" w14:textId="77777777" w:rsidTr="00822842">
        <w:tc>
          <w:tcPr>
            <w:tcW w:w="1697" w:type="dxa"/>
          </w:tcPr>
          <w:p w14:paraId="32640B70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131" w:type="dxa"/>
          </w:tcPr>
          <w:p w14:paraId="431787D4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Общи капиталови изисквания за антицикличния буфер</w:t>
            </w:r>
          </w:p>
          <w:p w14:paraId="78C29612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Сборът на редове 0080, 0090 и 0100.</w:t>
            </w:r>
          </w:p>
        </w:tc>
      </w:tr>
      <w:tr w:rsidR="009D6580" w:rsidRPr="002A677E" w14:paraId="7D74E37B" w14:textId="77777777" w:rsidTr="00822842">
        <w:tc>
          <w:tcPr>
            <w:tcW w:w="1697" w:type="dxa"/>
          </w:tcPr>
          <w:p w14:paraId="26DA65D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0080</w:t>
            </w:r>
          </w:p>
        </w:tc>
        <w:tc>
          <w:tcPr>
            <w:tcW w:w="8131" w:type="dxa"/>
          </w:tcPr>
          <w:p w14:paraId="2381AF17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Капиталови изисквания за съответните кредитни експозиции — кредитен риск </w:t>
            </w:r>
          </w:p>
          <w:p w14:paraId="4126D1DC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Капиталовите изисквания, изчислени в съответствие с трета част, дял II, глави 1—4 и 6 от Регламент (ЕС) № 575/2013 — за съответните кредитни експозиции, посочени в член 140, параграф 4, буква а) от Директива 2013/36/ЕС, в дадената държава.</w:t>
            </w:r>
          </w:p>
          <w:p w14:paraId="094DA9DC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Капиталовите изисквания за секюритизиращите позиции в банковия портфейл се изключват от този ред и се докладват в ред 0100.</w:t>
            </w:r>
          </w:p>
          <w:p w14:paraId="037A1499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Капиталовите изисквания са 8 % от рисково претегления размер на експозицията, определен в съответствие с част трета, дял II, глави 1—4 и глава 6 от Регламент (ЕС) № 575/2013.</w:t>
            </w:r>
          </w:p>
        </w:tc>
      </w:tr>
      <w:tr w:rsidR="009D6580" w:rsidRPr="002A677E" w14:paraId="6CE5DB0E" w14:textId="77777777" w:rsidTr="00822842">
        <w:tc>
          <w:tcPr>
            <w:tcW w:w="1697" w:type="dxa"/>
          </w:tcPr>
          <w:p w14:paraId="0847E4D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131" w:type="dxa"/>
          </w:tcPr>
          <w:p w14:paraId="4922C906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Капиталови изисквания за съответните кредитни експозиции — пазарен риск </w:t>
            </w:r>
          </w:p>
          <w:p w14:paraId="5686B881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Капиталовите изисквания, изчислени в съответствие с трета част, дял IV, глава 2 от Регламент (ЕС) № 575/2013 за специфичния риск, или в съответствие с трета част, дял IV, глава 5 от Регламент (ЕС) № 575/2013 — за допълнителния риск от неизпълнение и миграционния риск, за съответните кредитни експозиции, посочени в член 140, параграф 4, буква б) от Директива 2013/36/ЕС, в дадената държава. </w:t>
            </w:r>
          </w:p>
          <w:p w14:paraId="09611817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Капиталовите изисквания за съответните кредитни експозиции съгласно рамката за пазарния риск включват, наред с другото, капиталовите изисквания за секюритизиращите позиции, изчислени в съответствие с трета част, дял IV, глава 2 от Регламент (ЕС) № 575/2013, и капиталовите изисквания за експозициите към предприятия за колективно инвестиране, определени в съответствие с член 348 от същия регламент.</w:t>
            </w:r>
          </w:p>
        </w:tc>
      </w:tr>
      <w:tr w:rsidR="009D6580" w:rsidRPr="002A677E" w14:paraId="655D63DC" w14:textId="77777777" w:rsidTr="00822842">
        <w:tc>
          <w:tcPr>
            <w:tcW w:w="1697" w:type="dxa"/>
          </w:tcPr>
          <w:p w14:paraId="4911AAD6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131" w:type="dxa"/>
          </w:tcPr>
          <w:p w14:paraId="45D3AC3C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Капиталови изисквания за съответните кредитни експозиции — секюритизиращи позиции в банковия портфейл</w:t>
            </w:r>
          </w:p>
          <w:p w14:paraId="6483412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Капиталовите изисквания, изчислени в съответствие с трета част, дял II, глава 5 от Регламент (ЕС) № 575/2013 — за съответните кредитни експозиции, посочени в член 140, параграф 4, буква в) от Директива 2013/36/ЕС, в дадената държава.</w:t>
            </w:r>
          </w:p>
          <w:p w14:paraId="1A6665D5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Капиталовите изисквания са 8 % от рисково претегления размер на експозицията, изчислен в съответствие с част трета, дял II, глава 5 от Регламент (ЕС) № 575/2013.</w:t>
            </w:r>
          </w:p>
        </w:tc>
      </w:tr>
      <w:tr w:rsidR="009D6580" w:rsidRPr="002A677E" w14:paraId="4015A9D7" w14:textId="77777777" w:rsidTr="00822842">
        <w:tc>
          <w:tcPr>
            <w:tcW w:w="1697" w:type="dxa"/>
          </w:tcPr>
          <w:p w14:paraId="4ACCD3B3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131" w:type="dxa"/>
          </w:tcPr>
          <w:p w14:paraId="2EE25FA2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Тегла на капиталовите изисквания</w:t>
            </w:r>
          </w:p>
          <w:p w14:paraId="3D7B8904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Теглото, което се прилага към равнището на антицикличния буфер във всяка държава, се изчислява като отношение на капиталовите изисквания, определено както следва:</w:t>
            </w:r>
          </w:p>
          <w:p w14:paraId="47443D03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ab/>
              <w:t xml:space="preserve">Числител: Общите капиталови изисквания, отнасящи се до съответните кредитни експозиции в съответната държава [r0070; c0010; работен лист относно държавата], </w:t>
            </w:r>
          </w:p>
          <w:p w14:paraId="1FE57EC6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</w:t>
            </w:r>
            <w:r>
              <w:rPr>
                <w:rFonts w:ascii="Times New Roman" w:hAnsi="Times New Roman"/>
                <w:sz w:val="24"/>
              </w:rPr>
              <w:tab/>
              <w:t>Знаменател: Общите капиталови изисквания, отнасящи се до всички кредитни експозиции, свързани с изчисляването на антицикличния буфер съгласно посоченото в член 140, параграф 4 от Директива 2013/36/ЕС [r0070; c0010; „Общо“].</w:t>
            </w:r>
          </w:p>
          <w:p w14:paraId="423D2DDF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Информацията за теглата на капиталовите изисквания не се докладва „Общо“ за всички държави.</w:t>
            </w:r>
          </w:p>
        </w:tc>
      </w:tr>
      <w:tr w:rsidR="009D6580" w:rsidRPr="002A677E" w14:paraId="5C4BC14D" w14:textId="77777777" w:rsidTr="00822842">
        <w:tc>
          <w:tcPr>
            <w:tcW w:w="1697" w:type="dxa"/>
          </w:tcPr>
          <w:p w14:paraId="1A21712D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0120-0140</w:t>
            </w:r>
          </w:p>
        </w:tc>
        <w:tc>
          <w:tcPr>
            <w:tcW w:w="8131" w:type="dxa"/>
          </w:tcPr>
          <w:p w14:paraId="0FFF9D8C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Равнища на антицикличния капиталов буфер</w:t>
            </w:r>
          </w:p>
        </w:tc>
      </w:tr>
      <w:tr w:rsidR="009D6580" w:rsidRPr="002A677E" w14:paraId="3D2AE883" w14:textId="77777777" w:rsidTr="00822842">
        <w:tc>
          <w:tcPr>
            <w:tcW w:w="1697" w:type="dxa"/>
          </w:tcPr>
          <w:p w14:paraId="61437EB6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131" w:type="dxa"/>
          </w:tcPr>
          <w:p w14:paraId="756100DA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Равнище на антицикличния капиталов буфер, установено от определения орган</w:t>
            </w:r>
          </w:p>
          <w:p w14:paraId="256AAB4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Антицикличният капиталов буфер, определен за съответната държава от компетентния орган на тази държава в съответствие с членове 136, 137, 139, член 140, параграф 2, букви а) и в) и член 140, параграфи 3, буква б) от Директива 2013/36/ЕС.</w:t>
            </w:r>
          </w:p>
          <w:p w14:paraId="08387A1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Този ред не се попълва, ако за съответната държава определеният орган на тази държава не е установил антицикличен буфер.</w:t>
            </w:r>
          </w:p>
          <w:p w14:paraId="79AF7A0C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се докладват равнищата на антицикличния капиталов буфер, установени от определения орган, които все още не се прилагат в дадената държава към референтната дата на докладване.</w:t>
            </w:r>
          </w:p>
          <w:p w14:paraId="5BEA0E13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Информацията за установеното от определения орган равнище на антицикличния капиталов буфер не се докладва „Общо“ за всички държави. </w:t>
            </w:r>
          </w:p>
        </w:tc>
      </w:tr>
      <w:tr w:rsidR="009D6580" w:rsidRPr="002A677E" w14:paraId="01E6253D" w14:textId="77777777" w:rsidTr="00822842">
        <w:tc>
          <w:tcPr>
            <w:tcW w:w="1697" w:type="dxa"/>
          </w:tcPr>
          <w:p w14:paraId="3226BBDD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131" w:type="dxa"/>
          </w:tcPr>
          <w:p w14:paraId="1301D1B3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Равнище на антицикличния капиталов буфер, приложимо за държавата на институцията</w:t>
            </w:r>
          </w:p>
          <w:p w14:paraId="47D66D49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Равнището на антицикличния капиталов буфер, приложимо за дадената държава и установено от определения орган на държавата на местопребиваване на институцията в съответствие с членове 137, 138, 139, член 140, параграф 2, буква б) и член 140, параграфи 3, буква а) от Директива 2013/36/ЕС. Не се докладва антицикличният капиталов буфер, който все още не се прилага към референтната дата на докладване.</w:t>
            </w:r>
          </w:p>
          <w:p w14:paraId="082B5846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Информацията за приложимия в държавата на институцията антицикличен капиталов буфер не се докладва „Общо“ за всички държави.</w:t>
            </w:r>
          </w:p>
        </w:tc>
      </w:tr>
      <w:tr w:rsidR="009D6580" w:rsidRPr="002A677E" w14:paraId="3FF424DB" w14:textId="77777777" w:rsidTr="00822842">
        <w:tc>
          <w:tcPr>
            <w:tcW w:w="1697" w:type="dxa"/>
          </w:tcPr>
          <w:p w14:paraId="752F444A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131" w:type="dxa"/>
          </w:tcPr>
          <w:p w14:paraId="315BAE64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Специфично за институцията равнище на антицикличния капиталов буфер </w:t>
            </w:r>
          </w:p>
          <w:p w14:paraId="253E0547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Специфичното за институцията ниво на антицикличния капиталов буфер, изчислено в съответствие с член 140, параграф 1 от Директива 2013/36/ЕС. </w:t>
            </w:r>
          </w:p>
          <w:p w14:paraId="575D2B31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Специфичното за институцията равнище на антицикличния капиталов буфер се изчислява като среднопретегленото равнище на антицикличните буфери, които се прилагат в юрисдикциите, в които са съответните кредитни експозиции на институцията, или се прилагат за целите на член 140 по силата на член 139, параграф 2 или 3 от Директива 2013/36/ЕС. Специфичното за институцията равнище на антицикличния капиталов буфер се докладва, според случая, в [r0120; c0020; работен лист относно държавата] или в [r0130; c0020; работен лист относно държавата].</w:t>
            </w:r>
          </w:p>
          <w:p w14:paraId="2C4ECBB2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trike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Теглото, което се прилага към равнището на антицикличния капиталов буфер във всяка държава, представлява делът на капиталовите изисквания от общите капиталови изисквания и се докладва в [r0110; c0020; работен лист относно държавата]. </w:t>
            </w:r>
          </w:p>
          <w:p w14:paraId="65E93DC9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Информацията за специфичния за институцията антицикличен капиталов буфер се докладва само „Общо“ за всички държави, а не за всяка държава поотделно.</w:t>
            </w:r>
          </w:p>
        </w:tc>
      </w:tr>
      <w:tr w:rsidR="009D6580" w:rsidRPr="002A677E" w14:paraId="0CA64D03" w14:textId="77777777" w:rsidTr="00822842">
        <w:tc>
          <w:tcPr>
            <w:tcW w:w="1697" w:type="dxa"/>
          </w:tcPr>
          <w:p w14:paraId="1436C16C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0150—0160</w:t>
            </w:r>
          </w:p>
        </w:tc>
        <w:tc>
          <w:tcPr>
            <w:tcW w:w="8131" w:type="dxa"/>
          </w:tcPr>
          <w:p w14:paraId="13A71A3D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Използване на прага от 2 %</w:t>
            </w:r>
          </w:p>
        </w:tc>
      </w:tr>
      <w:tr w:rsidR="009D6580" w:rsidRPr="002A677E" w14:paraId="4C39701D" w14:textId="77777777" w:rsidTr="00822842">
        <w:tc>
          <w:tcPr>
            <w:tcW w:w="1697" w:type="dxa"/>
          </w:tcPr>
          <w:p w14:paraId="62E51E11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131" w:type="dxa"/>
          </w:tcPr>
          <w:p w14:paraId="0ABF51F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Използване на прага от 2 % за общата кредитна експозиция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8B71CE8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силата на член 2, параграф 5, буква б) от Делегиран регламент (ЕС) № 1152/2014 на Комисията чуждестранните общи кредитни експозиции, чийто съвкупен размер не надвишава 2 % от съвкупния размер на общите кредитни експозиции, експозициите в търговския портфейл и секюритизиращите експозиции на дадена институция, могат да се отнесат към държавата членка по произход на институцията. Съвкупният размер на общите кредитни експозиции, експозициите в търговския портфейл и секюритизиращите експозиции се изчислява, като се изключат общите кредитни експозиции, разположени в съответствие с член 2, параграф 5, буква а) и член 2, параграф 4 от Делегиран регламент (ЕС) № 1152/2014 на Комисията.</w:t>
            </w:r>
          </w:p>
          <w:p w14:paraId="53DCDD6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Ако институцията използва тази дерогация, тя посочва „Y“ в образеца за юрисдикцията, съответстваща на нейната държава членка по произход, и в образеца „Общо“ за всички държави.</w:t>
            </w:r>
          </w:p>
          <w:p w14:paraId="5B2597B2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Ако институцията не използва тази дерогация, тя посочва „N“ в съответната клетка.</w:t>
            </w:r>
          </w:p>
        </w:tc>
      </w:tr>
      <w:tr w:rsidR="009D6580" w:rsidRPr="002A677E" w14:paraId="7179BBF6" w14:textId="77777777" w:rsidTr="00822842">
        <w:tc>
          <w:tcPr>
            <w:tcW w:w="1697" w:type="dxa"/>
          </w:tcPr>
          <w:p w14:paraId="528EEA51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131" w:type="dxa"/>
          </w:tcPr>
          <w:p w14:paraId="4FC000D6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Използване на прага от 2 % за експозиция в търговския портфейл</w:t>
            </w:r>
          </w:p>
          <w:p w14:paraId="13ED02AA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силата на член 3, параграф 3 от Делегиран регламент (ЕС) № 1152/2014 на Комисията институция може да отнесе експозициите си в търговския портфейл към своята държава членка по произход, когато размерът им не надвишава 2 % от съвкупния размер на общите кредитни експозиции, експозициите в търговския портфейл и секюритизиращите експозиции на тази институция.</w:t>
            </w:r>
          </w:p>
          <w:p w14:paraId="068BDCF9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Ако институцията използва тази дерогация, тя посочва „Y“ в образеца за юрисдикцията, съответстваща на нейната държава членка по произход, и в образеца „Общо“ за всички държави.</w:t>
            </w:r>
          </w:p>
          <w:p w14:paraId="3EA8EC30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Ако институцията не използва тази дерогация, тя посочва „N“ в съответната клетка.</w:t>
            </w:r>
          </w:p>
        </w:tc>
      </w:tr>
    </w:tbl>
    <w:p w14:paraId="41871259" w14:textId="77777777" w:rsidR="009D6580" w:rsidRDefault="009D6580"/>
    <w:p w14:paraId="6D451BBA" w14:textId="77777777" w:rsidR="009D6580" w:rsidRDefault="009D6580"/>
    <w:sectPr w:rsidR="009D6580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93790" w14:textId="77777777" w:rsidR="00071022" w:rsidRDefault="00071022" w:rsidP="00E26A90">
      <w:pPr>
        <w:spacing w:after="0"/>
      </w:pPr>
      <w:r>
        <w:separator/>
      </w:r>
    </w:p>
  </w:endnote>
  <w:endnote w:type="continuationSeparator" w:id="0">
    <w:p w14:paraId="0E38E4C2" w14:textId="77777777" w:rsidR="00071022" w:rsidRDefault="00071022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6DF55" w14:textId="77777777" w:rsidR="00071022" w:rsidRDefault="00071022" w:rsidP="00E26A90">
      <w:pPr>
        <w:spacing w:after="0"/>
      </w:pPr>
      <w:r>
        <w:separator/>
      </w:r>
    </w:p>
  </w:footnote>
  <w:footnote w:type="continuationSeparator" w:id="0">
    <w:p w14:paraId="0EAFC9C2" w14:textId="77777777" w:rsidR="00071022" w:rsidRDefault="00071022" w:rsidP="00E26A90">
      <w:pPr>
        <w:spacing w:after="0"/>
      </w:pPr>
      <w:r>
        <w:continuationSeparator/>
      </w:r>
    </w:p>
  </w:footnote>
  <w:footnote w:id="1">
    <w:p w14:paraId="662CB3FE" w14:textId="77777777" w:rsidR="009D6580" w:rsidRPr="0002267E" w:rsidRDefault="009D6580" w:rsidP="009D6580">
      <w:pPr>
        <w:pStyle w:val="FootnoteText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</w:rPr>
        <w:tab/>
        <w:t>Делегиран регламент (ЕС) № 1152/2014 на Комисията от 4 юни 2014 г. за допълване на Директива 2013/36/ЕС на Европейския парламент и на Съвета по отношение на регулаторните технически стандарти за установяване на географското местоположение на съответните кредитни експозиции за изчисляване на специфичното за институцията ниво на антицикличния капиталов буфер (ОВ L 309, 30.10.2014 г., стр. 5)</w:t>
      </w:r>
      <w:r>
        <w:rPr>
          <w:rFonts w:ascii="Times New Roman" w:hAnsi="Times New Roman"/>
          <w:color w:val="444444"/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2F7D7F02"/>
    <w:multiLevelType w:val="multilevel"/>
    <w:tmpl w:val="0407001D"/>
    <w:numStyleLink w:val="Formatvorlage3"/>
  </w:abstractNum>
  <w:abstractNum w:abstractNumId="9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4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5776359">
    <w:abstractNumId w:val="3"/>
  </w:num>
  <w:num w:numId="2" w16cid:durableId="1733112609">
    <w:abstractNumId w:val="19"/>
  </w:num>
  <w:num w:numId="3" w16cid:durableId="286200695">
    <w:abstractNumId w:val="27"/>
  </w:num>
  <w:num w:numId="4" w16cid:durableId="487287975">
    <w:abstractNumId w:val="14"/>
  </w:num>
  <w:num w:numId="5" w16cid:durableId="1754350949">
    <w:abstractNumId w:val="22"/>
  </w:num>
  <w:num w:numId="6" w16cid:durableId="1507597667">
    <w:abstractNumId w:val="12"/>
  </w:num>
  <w:num w:numId="7" w16cid:durableId="139271283">
    <w:abstractNumId w:val="26"/>
  </w:num>
  <w:num w:numId="8" w16cid:durableId="763764270">
    <w:abstractNumId w:val="5"/>
  </w:num>
  <w:num w:numId="9" w16cid:durableId="1561986968">
    <w:abstractNumId w:val="20"/>
  </w:num>
  <w:num w:numId="10" w16cid:durableId="1349260748">
    <w:abstractNumId w:val="10"/>
  </w:num>
  <w:num w:numId="11" w16cid:durableId="1097991330">
    <w:abstractNumId w:val="16"/>
  </w:num>
  <w:num w:numId="12" w16cid:durableId="858469680">
    <w:abstractNumId w:val="6"/>
  </w:num>
  <w:num w:numId="13" w16cid:durableId="1485394352">
    <w:abstractNumId w:val="21"/>
  </w:num>
  <w:num w:numId="14" w16cid:durableId="881021889">
    <w:abstractNumId w:val="18"/>
  </w:num>
  <w:num w:numId="15" w16cid:durableId="1923681300">
    <w:abstractNumId w:val="9"/>
  </w:num>
  <w:num w:numId="16" w16cid:durableId="211188018">
    <w:abstractNumId w:val="15"/>
  </w:num>
  <w:num w:numId="17" w16cid:durableId="373817584">
    <w:abstractNumId w:val="8"/>
  </w:num>
  <w:num w:numId="18" w16cid:durableId="1615165847">
    <w:abstractNumId w:val="23"/>
  </w:num>
  <w:num w:numId="19" w16cid:durableId="429467310">
    <w:abstractNumId w:val="4"/>
  </w:num>
  <w:num w:numId="20" w16cid:durableId="1079792157">
    <w:abstractNumId w:val="13"/>
  </w:num>
  <w:num w:numId="21" w16cid:durableId="1333265662">
    <w:abstractNumId w:val="2"/>
  </w:num>
  <w:num w:numId="22" w16cid:durableId="737484550">
    <w:abstractNumId w:val="11"/>
  </w:num>
  <w:num w:numId="23" w16cid:durableId="309210531">
    <w:abstractNumId w:val="25"/>
  </w:num>
  <w:num w:numId="24" w16cid:durableId="166527561">
    <w:abstractNumId w:val="1"/>
  </w:num>
  <w:num w:numId="25" w16cid:durableId="1544101633">
    <w:abstractNumId w:val="24"/>
  </w:num>
  <w:num w:numId="26" w16cid:durableId="44380249">
    <w:abstractNumId w:val="17"/>
  </w:num>
  <w:num w:numId="27" w16cid:durableId="1838038624">
    <w:abstractNumId w:val="0"/>
  </w:num>
  <w:num w:numId="28" w16cid:durableId="1856265522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1099"/>
    <w:rsid w:val="00071022"/>
    <w:rsid w:val="000C5380"/>
    <w:rsid w:val="00117723"/>
    <w:rsid w:val="00123FDD"/>
    <w:rsid w:val="001A2CA7"/>
    <w:rsid w:val="0020657D"/>
    <w:rsid w:val="00234FB5"/>
    <w:rsid w:val="002B3314"/>
    <w:rsid w:val="0035336C"/>
    <w:rsid w:val="00381D02"/>
    <w:rsid w:val="003C36D5"/>
    <w:rsid w:val="003D18F9"/>
    <w:rsid w:val="005644CB"/>
    <w:rsid w:val="005B37F0"/>
    <w:rsid w:val="005E7811"/>
    <w:rsid w:val="00631623"/>
    <w:rsid w:val="0064771D"/>
    <w:rsid w:val="00681B25"/>
    <w:rsid w:val="006D3385"/>
    <w:rsid w:val="007F4E89"/>
    <w:rsid w:val="00837F98"/>
    <w:rsid w:val="00910F63"/>
    <w:rsid w:val="009860C5"/>
    <w:rsid w:val="009D6580"/>
    <w:rsid w:val="00A6002C"/>
    <w:rsid w:val="00A931D0"/>
    <w:rsid w:val="00AF2BE6"/>
    <w:rsid w:val="00B3003C"/>
    <w:rsid w:val="00B56773"/>
    <w:rsid w:val="00B71F25"/>
    <w:rsid w:val="00BA13AD"/>
    <w:rsid w:val="00C04862"/>
    <w:rsid w:val="00D25C41"/>
    <w:rsid w:val="00DD798A"/>
    <w:rsid w:val="00E26A90"/>
    <w:rsid w:val="00E50DD0"/>
    <w:rsid w:val="00EF07A1"/>
    <w:rsid w:val="00F16E4D"/>
    <w:rsid w:val="00FB1404"/>
    <w:rsid w:val="00FD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580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9D6580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D6580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9D6580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9D6580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9D6580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9D6580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9D6580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9D6580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9D6580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9D6580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9D6580"/>
    <w:rPr>
      <w:rFonts w:ascii="Verdana" w:eastAsia="Arial" w:hAnsi="Verdana" w:cs="Times New Roman"/>
      <w:b/>
      <w:kern w:val="0"/>
      <w:sz w:val="24"/>
      <w:szCs w:val="24"/>
      <w:u w:val="single"/>
      <w:lang w:val="bg-BG" w:eastAsia="x-none"/>
      <w14:ligatures w14:val="none"/>
    </w:rPr>
  </w:style>
  <w:style w:type="character" w:customStyle="1" w:styleId="Heading3Char">
    <w:name w:val="Heading 3 Char"/>
    <w:aliases w:val="Title 2 Char"/>
    <w:basedOn w:val="DefaultParagraphFont"/>
    <w:uiPriority w:val="99"/>
    <w:rsid w:val="009D658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9"/>
    <w:rsid w:val="009D6580"/>
    <w:rPr>
      <w:rFonts w:ascii="Verdana" w:eastAsia="Times New Roman" w:hAnsi="Verdana" w:cs="Times New Roman"/>
      <w:b/>
      <w:kern w:val="0"/>
      <w:sz w:val="20"/>
      <w:szCs w:val="24"/>
      <w:u w:val="single"/>
      <w14:ligatures w14:val="none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9D6580"/>
    <w:rPr>
      <w:rFonts w:ascii="Arial" w:eastAsia="Arial" w:hAnsi="Arial" w:cs="Times New Roman"/>
      <w:b/>
      <w:i/>
      <w:kern w:val="0"/>
      <w:sz w:val="20"/>
      <w:szCs w:val="20"/>
      <w:lang w:val="bg-BG" w:eastAsia="de-DE"/>
      <w14:ligatures w14:val="none"/>
    </w:rPr>
  </w:style>
  <w:style w:type="character" w:customStyle="1" w:styleId="Heading6Char">
    <w:name w:val="Heading 6 Char"/>
    <w:basedOn w:val="DefaultParagraphFont"/>
    <w:link w:val="Heading6"/>
    <w:rsid w:val="009D6580"/>
    <w:rPr>
      <w:rFonts w:ascii="Times New Roman" w:eastAsia="Arial" w:hAnsi="Times New Roman" w:cs="Times New Roman"/>
      <w:b/>
      <w:bCs/>
      <w:kern w:val="0"/>
      <w:sz w:val="20"/>
      <w:szCs w:val="20"/>
      <w:lang w:val="bg-BG" w:eastAsia="de-DE"/>
      <w14:ligatures w14:val="none"/>
    </w:rPr>
  </w:style>
  <w:style w:type="character" w:customStyle="1" w:styleId="Heading7Char">
    <w:name w:val="Heading 7 Char"/>
    <w:basedOn w:val="DefaultParagraphFont"/>
    <w:link w:val="Heading7"/>
    <w:rsid w:val="009D6580"/>
    <w:rPr>
      <w:rFonts w:ascii="Times New Roman" w:eastAsia="Arial" w:hAnsi="Times New Roman" w:cs="Times New Roman"/>
      <w:kern w:val="0"/>
      <w:sz w:val="20"/>
      <w:szCs w:val="20"/>
      <w:lang w:val="bg-BG" w:eastAsia="de-DE"/>
      <w14:ligatures w14:val="none"/>
    </w:rPr>
  </w:style>
  <w:style w:type="character" w:customStyle="1" w:styleId="Heading8Char">
    <w:name w:val="Heading 8 Char"/>
    <w:basedOn w:val="DefaultParagraphFont"/>
    <w:link w:val="Heading8"/>
    <w:rsid w:val="009D6580"/>
    <w:rPr>
      <w:rFonts w:ascii="Times New Roman" w:eastAsia="Arial" w:hAnsi="Times New Roman" w:cs="Times New Roman"/>
      <w:i/>
      <w:iCs/>
      <w:kern w:val="0"/>
      <w:sz w:val="20"/>
      <w:szCs w:val="20"/>
      <w:lang w:val="bg-BG" w:eastAsia="de-DE"/>
      <w14:ligatures w14:val="none"/>
    </w:rPr>
  </w:style>
  <w:style w:type="character" w:customStyle="1" w:styleId="Heading9Char">
    <w:name w:val="Heading 9 Char"/>
    <w:basedOn w:val="DefaultParagraphFont"/>
    <w:link w:val="Heading9"/>
    <w:rsid w:val="009D6580"/>
    <w:rPr>
      <w:rFonts w:ascii="Arial" w:eastAsia="Arial" w:hAnsi="Arial" w:cs="Times New Roman"/>
      <w:kern w:val="0"/>
      <w:sz w:val="20"/>
      <w:szCs w:val="20"/>
      <w:lang w:val="bg-BG" w:eastAsia="de-DE"/>
      <w14:ligatures w14:val="none"/>
    </w:rPr>
  </w:style>
  <w:style w:type="paragraph" w:styleId="TableofFigures">
    <w:name w:val="table of figures"/>
    <w:basedOn w:val="Normal"/>
    <w:next w:val="Normal"/>
    <w:qFormat/>
    <w:rsid w:val="009D6580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9D6580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9D6580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9D6580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9D6580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9D6580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basedOn w:val="DefaultParagraphFont"/>
    <w:link w:val="FootnoteText"/>
    <w:rsid w:val="009D6580"/>
    <w:rPr>
      <w:rFonts w:ascii="Arial" w:eastAsia="Arial" w:hAnsi="Arial" w:cs="Times New Roman"/>
      <w:kern w:val="0"/>
      <w:sz w:val="16"/>
      <w:szCs w:val="16"/>
      <w:lang w:val="bg-BG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9D658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9D6580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9D6580"/>
    <w:rPr>
      <w:rFonts w:ascii="Arial" w:eastAsia="Arial" w:hAnsi="Arial" w:cs="Times New Roman"/>
      <w:kern w:val="0"/>
      <w:sz w:val="14"/>
      <w:szCs w:val="14"/>
      <w:lang w:val="bg-BG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9D6580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9D6580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9D6580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9D6580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9D6580"/>
    <w:pPr>
      <w:spacing w:line="312" w:lineRule="auto"/>
      <w:ind w:left="1701" w:hanging="567"/>
    </w:pPr>
  </w:style>
  <w:style w:type="character" w:styleId="Hyperlink">
    <w:name w:val="Hyperlink"/>
    <w:uiPriority w:val="99"/>
    <w:rsid w:val="009D658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9D6580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9D6580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9D6580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9D6580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9D6580"/>
    <w:pPr>
      <w:numPr>
        <w:numId w:val="12"/>
      </w:numPr>
    </w:pPr>
  </w:style>
  <w:style w:type="character" w:styleId="PageNumber">
    <w:name w:val="page number"/>
    <w:uiPriority w:val="99"/>
    <w:rsid w:val="009D658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9D6580"/>
    <w:rPr>
      <w:rFonts w:ascii="Arial" w:eastAsia="Arial" w:hAnsi="Arial" w:cs="Times New Roman"/>
      <w:b/>
      <w:kern w:val="0"/>
      <w:sz w:val="20"/>
      <w:szCs w:val="20"/>
      <w:lang w:val="bg-BG" w:eastAsia="de-D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9D658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9D658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D6580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9D6580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9D6580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9D6580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9D6580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basedOn w:val="DefaultParagraphFont"/>
    <w:link w:val="Quote"/>
    <w:uiPriority w:val="29"/>
    <w:rsid w:val="009D6580"/>
    <w:rPr>
      <w:rFonts w:ascii="Arial" w:eastAsia="Arial" w:hAnsi="Arial" w:cs="Times New Roman"/>
      <w:i/>
      <w:iCs/>
      <w:color w:val="000000"/>
      <w:kern w:val="0"/>
      <w:sz w:val="20"/>
      <w:szCs w:val="20"/>
      <w:lang w:val="bg-BG" w:eastAsia="de-DE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9D658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9D6580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9D6580"/>
    <w:rPr>
      <w:rFonts w:ascii="Arial" w:eastAsia="Arial" w:hAnsi="Arial" w:cs="Times New Roman"/>
      <w:kern w:val="0"/>
      <w:sz w:val="20"/>
      <w:szCs w:val="20"/>
      <w:lang w:val="bg-BG" w:eastAsia="de-DE"/>
      <w14:ligatures w14:val="none"/>
    </w:rPr>
  </w:style>
  <w:style w:type="character" w:styleId="EndnoteReference">
    <w:name w:val="endnote reference"/>
    <w:uiPriority w:val="1"/>
    <w:rsid w:val="009D658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9D658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9D65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D6580"/>
    <w:rPr>
      <w:rFonts w:eastAsia="Arial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580"/>
    <w:rPr>
      <w:rFonts w:ascii="Verdana" w:eastAsia="Arial" w:hAnsi="Verdana" w:cs="Times New Roman"/>
      <w:kern w:val="0"/>
      <w:sz w:val="20"/>
      <w:szCs w:val="20"/>
      <w:lang w:val="bg-BG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9D6580"/>
    <w:rPr>
      <w:b/>
      <w:bCs/>
    </w:rPr>
  </w:style>
  <w:style w:type="character" w:styleId="FollowedHyperlink">
    <w:name w:val="FollowedHyperlink"/>
    <w:uiPriority w:val="99"/>
    <w:rsid w:val="009D658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9D6580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D6580"/>
    <w:rPr>
      <w:rFonts w:ascii="Tahoma" w:eastAsia="Arial" w:hAnsi="Tahoma" w:cs="Times New Roman"/>
      <w:kern w:val="0"/>
      <w:sz w:val="16"/>
      <w:szCs w:val="16"/>
      <w:lang w:val="bg-BG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D65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D6580"/>
    <w:rPr>
      <w:rFonts w:ascii="Verdana" w:eastAsia="Arial" w:hAnsi="Verdana" w:cs="Times New Roman"/>
      <w:b/>
      <w:bCs/>
      <w:kern w:val="0"/>
      <w:sz w:val="20"/>
      <w:szCs w:val="20"/>
      <w:lang w:val="bg-BG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9D65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9D6580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9D658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9D6580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9D6580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9D6580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9D658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9D6580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9D6580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9D658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9D658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D658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D658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9D658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9D6580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9D6580"/>
    <w:pPr>
      <w:ind w:left="720"/>
    </w:pPr>
  </w:style>
  <w:style w:type="paragraph" w:customStyle="1" w:styleId="Prrafodelista2">
    <w:name w:val="Párrafo de lista2"/>
    <w:basedOn w:val="Normal"/>
    <w:uiPriority w:val="99"/>
    <w:rsid w:val="009D6580"/>
    <w:pPr>
      <w:ind w:left="708"/>
    </w:pPr>
  </w:style>
  <w:style w:type="paragraph" w:styleId="PlainText">
    <w:name w:val="Plain Text"/>
    <w:basedOn w:val="Normal"/>
    <w:link w:val="PlainTextChar"/>
    <w:uiPriority w:val="99"/>
    <w:rsid w:val="009D6580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9D6580"/>
    <w:rPr>
      <w:rFonts w:ascii="Verdana" w:eastAsia="Arial" w:hAnsi="Verdana" w:cs="Times New Roman"/>
      <w:kern w:val="0"/>
      <w:sz w:val="20"/>
      <w:szCs w:val="20"/>
      <w:lang w:val="bg-BG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9D6580"/>
    <w:pPr>
      <w:ind w:left="708"/>
    </w:pPr>
  </w:style>
  <w:style w:type="character" w:customStyle="1" w:styleId="InstructionsTextChar">
    <w:name w:val="Instructions Text Char"/>
    <w:link w:val="InstructionsText"/>
    <w:locked/>
    <w:rsid w:val="009D658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9D658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9D6580"/>
    <w:pPr>
      <w:ind w:left="708"/>
    </w:pPr>
  </w:style>
  <w:style w:type="character" w:styleId="PlaceholderText">
    <w:name w:val="Placeholder Text"/>
    <w:uiPriority w:val="99"/>
    <w:semiHidden/>
    <w:rsid w:val="009D6580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9D6580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9D6580"/>
    <w:rPr>
      <w:rFonts w:ascii="Verdana" w:hAnsi="Verdana" w:cs="Arial"/>
      <w:b/>
      <w:bCs/>
      <w:sz w:val="26"/>
      <w:szCs w:val="26"/>
      <w:u w:val="single"/>
      <w:lang w:val="bg-BG" w:eastAsia="en-US" w:bidi="ar-SA"/>
    </w:rPr>
  </w:style>
  <w:style w:type="paragraph" w:customStyle="1" w:styleId="CM4">
    <w:name w:val="CM4"/>
    <w:basedOn w:val="Normal"/>
    <w:next w:val="Normal"/>
    <w:uiPriority w:val="99"/>
    <w:rsid w:val="009D6580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9D6580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D6580"/>
    <w:rPr>
      <w:rFonts w:ascii="Tahoma" w:eastAsia="Arial" w:hAnsi="Tahoma" w:cs="Times New Roman"/>
      <w:kern w:val="0"/>
      <w:sz w:val="16"/>
      <w:szCs w:val="16"/>
      <w:lang w:val="bg-BG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9D6580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9D6580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9D658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9D658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9D6580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9D658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9D6580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9D6580"/>
    <w:pPr>
      <w:numPr>
        <w:numId w:val="6"/>
      </w:numPr>
    </w:pPr>
  </w:style>
  <w:style w:type="numbering" w:customStyle="1" w:styleId="Formatvorlage3">
    <w:name w:val="Formatvorlage3"/>
    <w:uiPriority w:val="99"/>
    <w:rsid w:val="009D6580"/>
    <w:pPr>
      <w:numPr>
        <w:numId w:val="16"/>
      </w:numPr>
    </w:pPr>
  </w:style>
  <w:style w:type="numbering" w:customStyle="1" w:styleId="Formatvorlage1">
    <w:name w:val="Formatvorlage1"/>
    <w:uiPriority w:val="99"/>
    <w:rsid w:val="009D6580"/>
    <w:pPr>
      <w:numPr>
        <w:numId w:val="5"/>
      </w:numPr>
    </w:pPr>
  </w:style>
  <w:style w:type="numbering" w:customStyle="1" w:styleId="Formatvorlage4">
    <w:name w:val="Formatvorlage4"/>
    <w:uiPriority w:val="99"/>
    <w:rsid w:val="009D6580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9D6580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9D6580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9D658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9D658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9D658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9D6580"/>
    <w:pPr>
      <w:ind w:left="708"/>
    </w:pPr>
  </w:style>
  <w:style w:type="character" w:customStyle="1" w:styleId="Platzhaltertext1">
    <w:name w:val="Platzhaltertext1"/>
    <w:uiPriority w:val="99"/>
    <w:semiHidden/>
    <w:rsid w:val="009D6580"/>
    <w:rPr>
      <w:color w:val="808080"/>
    </w:rPr>
  </w:style>
  <w:style w:type="paragraph" w:customStyle="1" w:styleId="Default">
    <w:name w:val="Default"/>
    <w:rsid w:val="009D658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9D658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D658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9D658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9D658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9D6580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9D6580"/>
    <w:pPr>
      <w:spacing w:before="240" w:after="120" w:line="276" w:lineRule="auto"/>
      <w:jc w:val="both"/>
    </w:pPr>
    <w:rPr>
      <w:rFonts w:eastAsiaTheme="minorEastAsia"/>
      <w:kern w:val="0"/>
      <w:szCs w:val="24"/>
      <w14:ligatures w14:val="none"/>
    </w:rPr>
  </w:style>
  <w:style w:type="paragraph" w:customStyle="1" w:styleId="Applicationdirecte">
    <w:name w:val="Application directe"/>
    <w:basedOn w:val="Normal"/>
    <w:next w:val="Fait"/>
    <w:rsid w:val="009D6580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9D6580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9D6580"/>
    <w:pPr>
      <w:numPr>
        <w:numId w:val="25"/>
      </w:numPr>
    </w:pPr>
  </w:style>
  <w:style w:type="paragraph" w:customStyle="1" w:styleId="Numberedtitlelevel2">
    <w:name w:val="Numbered title level 2"/>
    <w:basedOn w:val="Titlelevel2"/>
    <w:next w:val="body"/>
    <w:qFormat/>
    <w:rsid w:val="009D6580"/>
    <w:pPr>
      <w:numPr>
        <w:ilvl w:val="1"/>
        <w:numId w:val="25"/>
      </w:numPr>
    </w:pPr>
  </w:style>
  <w:style w:type="paragraph" w:customStyle="1" w:styleId="Titlelevel2">
    <w:name w:val="Title level 2"/>
    <w:qFormat/>
    <w:rsid w:val="009D658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kern w:val="0"/>
      <w:sz w:val="32"/>
      <w:szCs w:val="24"/>
      <w14:ligatures w14:val="none"/>
    </w:rPr>
  </w:style>
  <w:style w:type="paragraph" w:customStyle="1" w:styleId="Tableheader">
    <w:name w:val="Table header"/>
    <w:next w:val="Tabledata"/>
    <w:qFormat/>
    <w:rsid w:val="009D658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14:ligatures w14:val="none"/>
    </w:rPr>
  </w:style>
  <w:style w:type="paragraph" w:customStyle="1" w:styleId="Tabledata">
    <w:name w:val="Table data"/>
    <w:basedOn w:val="body"/>
    <w:qFormat/>
    <w:rsid w:val="009D658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9D6580"/>
    <w:pPr>
      <w:numPr>
        <w:numId w:val="23"/>
      </w:numPr>
      <w:spacing w:after="0" w:line="240" w:lineRule="auto"/>
    </w:pPr>
    <w:rPr>
      <w:rFonts w:eastAsiaTheme="minorEastAsia"/>
      <w:kern w:val="0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9D6580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9D6580"/>
    <w:pPr>
      <w:numPr>
        <w:numId w:val="24"/>
      </w:numPr>
      <w:spacing w:before="240" w:after="120" w:line="240" w:lineRule="auto"/>
      <w:contextualSpacing/>
    </w:pPr>
    <w:rPr>
      <w:rFonts w:eastAsiaTheme="minorEastAsia"/>
      <w:kern w:val="0"/>
      <w:szCs w:val="24"/>
      <w14:ligatures w14:val="none"/>
    </w:rPr>
  </w:style>
  <w:style w:type="paragraph" w:customStyle="1" w:styleId="Titlelevel1">
    <w:name w:val="Title level 1"/>
    <w:autoRedefine/>
    <w:qFormat/>
    <w:rsid w:val="009D6580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14:ligatures w14:val="none"/>
    </w:rPr>
  </w:style>
  <w:style w:type="paragraph" w:customStyle="1" w:styleId="Titlelevel3">
    <w:name w:val="Title level 3"/>
    <w:qFormat/>
    <w:rsid w:val="009D6580"/>
    <w:pPr>
      <w:spacing w:before="240" w:after="240" w:line="240" w:lineRule="auto"/>
    </w:pPr>
    <w:rPr>
      <w:rFonts w:eastAsiaTheme="minorEastAsia"/>
      <w:b/>
      <w:color w:val="44546A" w:themeColor="text2"/>
      <w:kern w:val="0"/>
      <w:sz w:val="24"/>
      <w:szCs w:val="24"/>
      <w14:ligatures w14:val="none"/>
    </w:rPr>
  </w:style>
  <w:style w:type="paragraph" w:customStyle="1" w:styleId="Titlelevel4">
    <w:name w:val="Title level 4"/>
    <w:next w:val="body"/>
    <w:qFormat/>
    <w:rsid w:val="009D6580"/>
    <w:pPr>
      <w:spacing w:before="240" w:after="240" w:line="240" w:lineRule="auto"/>
    </w:pPr>
    <w:rPr>
      <w:rFonts w:eastAsiaTheme="minorEastAsia"/>
      <w:color w:val="E7E6E6" w:themeColor="background2"/>
      <w:kern w:val="0"/>
      <w:sz w:val="24"/>
      <w:szCs w:val="24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9D6580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9D6580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9D6580"/>
    <w:pPr>
      <w:spacing w:after="0" w:line="240" w:lineRule="auto"/>
    </w:pPr>
    <w:rPr>
      <w:rFonts w:eastAsiaTheme="minorEastAsia"/>
      <w:caps/>
      <w:kern w:val="0"/>
      <w:sz w:val="16"/>
      <w:szCs w:val="18"/>
      <w14:ligatures w14:val="none"/>
    </w:rPr>
  </w:style>
  <w:style w:type="paragraph" w:customStyle="1" w:styleId="bullet1">
    <w:name w:val="bullet 1"/>
    <w:basedOn w:val="body"/>
    <w:next w:val="body"/>
    <w:qFormat/>
    <w:rsid w:val="009D6580"/>
    <w:pPr>
      <w:numPr>
        <w:numId w:val="21"/>
      </w:numPr>
    </w:pPr>
    <w:rPr>
      <w:szCs w:val="22"/>
    </w:rPr>
  </w:style>
  <w:style w:type="paragraph" w:customStyle="1" w:styleId="bullet2">
    <w:name w:val="bullet 2"/>
    <w:basedOn w:val="body"/>
    <w:qFormat/>
    <w:rsid w:val="009D6580"/>
    <w:pPr>
      <w:numPr>
        <w:numId w:val="20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9D6580"/>
    <w:pPr>
      <w:numPr>
        <w:ilvl w:val="2"/>
        <w:numId w:val="25"/>
      </w:numPr>
    </w:pPr>
  </w:style>
  <w:style w:type="table" w:styleId="LightShading">
    <w:name w:val="Light Shading"/>
    <w:basedOn w:val="TableNormal"/>
    <w:uiPriority w:val="60"/>
    <w:rsid w:val="009D658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D6580"/>
    <w:pPr>
      <w:spacing w:after="0" w:line="240" w:lineRule="auto"/>
    </w:pPr>
    <w:rPr>
      <w:rFonts w:eastAsiaTheme="minorEastAsia"/>
      <w:color w:val="2F5496" w:themeColor="accen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9D6580"/>
  </w:style>
  <w:style w:type="paragraph" w:customStyle="1" w:styleId="Numberedtitlelevel4">
    <w:name w:val="Numbered title level 4"/>
    <w:basedOn w:val="Titlelevel4"/>
    <w:qFormat/>
    <w:rsid w:val="009D6580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qFormat/>
    <w:rsid w:val="009D6580"/>
    <w:pPr>
      <w:pBdr>
        <w:bottom w:val="single" w:sz="8" w:space="4" w:color="4472C4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D6580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bg-BG"/>
      <w14:ligatures w14:val="none"/>
    </w:rPr>
  </w:style>
  <w:style w:type="paragraph" w:styleId="Subtitle">
    <w:name w:val="Subtitle"/>
    <w:next w:val="Normal"/>
    <w:link w:val="SubtitleChar"/>
    <w:autoRedefine/>
    <w:uiPriority w:val="11"/>
    <w:qFormat/>
    <w:rsid w:val="009D6580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9D6580"/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styleId="BookTitle">
    <w:name w:val="Book Title"/>
    <w:basedOn w:val="DefaultParagraphFont"/>
    <w:uiPriority w:val="33"/>
    <w:qFormat/>
    <w:rsid w:val="009D658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9D6580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9D6580"/>
    <w:rPr>
      <w:bCs/>
      <w:lang w:eastAsia="en-GB"/>
    </w:rPr>
  </w:style>
  <w:style w:type="paragraph" w:styleId="ListBullet">
    <w:name w:val="List Bullet"/>
    <w:basedOn w:val="Normal"/>
    <w:semiHidden/>
    <w:qFormat/>
    <w:rsid w:val="009D6580"/>
    <w:pPr>
      <w:numPr>
        <w:numId w:val="27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9D6580"/>
    <w:pPr>
      <w:numPr>
        <w:numId w:val="26"/>
      </w:numPr>
    </w:pPr>
  </w:style>
  <w:style w:type="character" w:customStyle="1" w:styleId="Marker">
    <w:name w:val="Marker"/>
    <w:rsid w:val="009D6580"/>
    <w:rPr>
      <w:color w:val="0000FF"/>
      <w:shd w:val="clear" w:color="auto" w:fill="auto"/>
    </w:rPr>
  </w:style>
  <w:style w:type="character" w:customStyle="1" w:styleId="Marker2">
    <w:name w:val="Marker2"/>
    <w:rsid w:val="009D658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9D6580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9D6580"/>
    <w:pPr>
      <w:numPr>
        <w:numId w:val="28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9D6580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9D6580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9D6580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9D6580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9D6580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9D6580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9D6580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9D6580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9D6580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472C4" w:themeColor="accent1"/>
      <w:sz w:val="18"/>
      <w:szCs w:val="18"/>
    </w:rPr>
  </w:style>
  <w:style w:type="paragraph" w:customStyle="1" w:styleId="TableNote">
    <w:name w:val="TableNote"/>
    <w:basedOn w:val="Normal"/>
    <w:rsid w:val="009D6580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D6580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658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D6580"/>
    <w:rPr>
      <w:color w:val="2B579A"/>
      <w:shd w:val="clear" w:color="auto" w:fill="E1DFDD"/>
    </w:rPr>
  </w:style>
  <w:style w:type="paragraph" w:customStyle="1" w:styleId="pf0">
    <w:name w:val="pf0"/>
    <w:basedOn w:val="Normal"/>
    <w:rsid w:val="009D658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D6580"/>
  </w:style>
  <w:style w:type="character" w:customStyle="1" w:styleId="cf01">
    <w:name w:val="cf01"/>
    <w:basedOn w:val="DefaultParagraphFont"/>
    <w:rsid w:val="009D658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9D6580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9D6580"/>
    <w:rPr>
      <w:rFonts w:ascii="Liberation Serif" w:eastAsia="SimSun" w:hAnsi="Liberation Serif" w:cs="Lucida Sans"/>
      <w:kern w:val="0"/>
      <w:sz w:val="24"/>
      <w:szCs w:val="24"/>
      <w:lang w:val="bg-BG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9D6580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9D658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79897F-E8CD-4BD2-ADD3-536B46CA34A1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69BF8FF7-243C-42F4-A5F7-CE24FF136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6BFFA3-CB45-404F-82E2-DFDECBD3EB99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4095</Words>
  <Characters>23385</Characters>
  <Application>Microsoft Office Word</Application>
  <DocSecurity>0</DocSecurity>
  <Lines>668</Lines>
  <Paragraphs>473</Paragraphs>
  <ScaleCrop>false</ScaleCrop>
  <Company/>
  <LinksUpToDate>false</LinksUpToDate>
  <CharactersWithSpaces>27007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2024-06-19T17:56:00Z</dcterms:created>
  <dcterms:modified xsi:type="dcterms:W3CDTF">2025-01-22T15:58:00Z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2025-01-22T15:58:34Z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bf54f832-fdbb-4c36-b73d-03f1f5d35d02</vt:lpwstr>
  </property>
  <property fmtid="{D5CDD505-2E9C-101B-9397-08002B2CF9AE}" pid="9" name="MSIP_Label_6bd9ddd1-4d20-43f6-abfa-fc3c07406f94_ContentBits">
    <vt:lpwstr>0</vt:lpwstr>
  </property>
</Properties>
</file>